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E306A" w:rsidRPr="00616B1E" w:rsidTr="009959D1">
        <w:tc>
          <w:tcPr>
            <w:tcW w:w="1056" w:type="dxa"/>
            <w:hideMark/>
          </w:tcPr>
          <w:p w:rsidR="00BE306A" w:rsidRPr="00616B1E" w:rsidRDefault="00BE306A" w:rsidP="00995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16B1E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DEEF300" wp14:editId="02ED3F30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16B1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16B1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OBČINSKI SVET – CONSIGLIO COMUNALE</w:t>
            </w:r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proofErr w:type="spellStart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Komisija</w:t>
            </w:r>
            <w:proofErr w:type="spellEnd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za </w:t>
            </w:r>
            <w:proofErr w:type="spellStart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vprašanja</w:t>
            </w:r>
            <w:proofErr w:type="spellEnd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italijanske</w:t>
            </w:r>
            <w:proofErr w:type="spellEnd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narodnosti</w:t>
            </w:r>
            <w:proofErr w:type="spellEnd"/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616B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Commissione per le questioni della nazionalità italiana</w:t>
            </w:r>
          </w:p>
          <w:p w:rsidR="00BE306A" w:rsidRPr="00616B1E" w:rsidRDefault="00BE306A" w:rsidP="009959D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ab/>
            </w:r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BE306A" w:rsidRPr="00616B1E" w:rsidRDefault="00BE306A" w:rsidP="009959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616B1E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BE306A" w:rsidRPr="00616B1E" w:rsidRDefault="00BE306A" w:rsidP="00995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616B1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616B1E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BE306A" w:rsidRPr="00616B1E" w:rsidRDefault="00BE306A" w:rsidP="00BE306A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011-17/2017</w:t>
      </w:r>
    </w:p>
    <w:p w:rsidR="00BE306A" w:rsidRPr="00616B1E" w:rsidRDefault="00BE306A" w:rsidP="00BE3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22. 03. 2017</w:t>
      </w:r>
    </w:p>
    <w:p w:rsidR="00BE306A" w:rsidRPr="00616B1E" w:rsidRDefault="00BE306A" w:rsidP="00BE3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VERBALE </w:t>
      </w:r>
    </w:p>
    <w:p w:rsidR="00BE306A" w:rsidRPr="00616B1E" w:rsidRDefault="00BE306A" w:rsidP="00BE30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616B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della</w:t>
      </w:r>
      <w:proofErr w:type="gramEnd"/>
      <w:r w:rsidRPr="00616B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9</w:t>
      </w:r>
      <w:r w:rsidRPr="00616B1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Pr="00616B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italiana,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tenutasi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il 22 marzo 2017 con inizio alle ore 16.00 nella sala riunioni al pianterreno del Comune di Isola, Riva del Sole, 8. </w:t>
      </w:r>
    </w:p>
    <w:p w:rsidR="00BE306A" w:rsidRPr="00616B1E" w:rsidRDefault="00BE306A" w:rsidP="00BE306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Membri presenti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: Ambra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, Felice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Žiža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Ljubo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Klanjšček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, Simona Angelini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Membri assenti: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Sebastjan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Morato, Marisa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Višnjevec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Tuljak</w:t>
      </w:r>
      <w:proofErr w:type="spellEnd"/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Altri presenti</w:t>
      </w: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Pr="00616B1E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</w:t>
      </w:r>
    </w:p>
    <w:p w:rsidR="00BE306A" w:rsidRPr="00616B1E" w:rsidRDefault="00BE306A" w:rsidP="00BE30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noProof/>
          <w:sz w:val="24"/>
          <w:szCs w:val="24"/>
          <w:lang w:eastAsia="sl-SI"/>
        </w:rPr>
        <w:t>Kristina Zelić, Capo dell’Ufficio attività sociali del Comune di Isola;</w:t>
      </w:r>
    </w:p>
    <w:p w:rsidR="00BE306A" w:rsidRPr="00616B1E" w:rsidRDefault="00BE306A" w:rsidP="00BE30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noProof/>
          <w:sz w:val="24"/>
          <w:szCs w:val="24"/>
          <w:lang w:eastAsia="sl-SI"/>
        </w:rPr>
        <w:t>Nina Kasal, traduttrice del Comune di Isola.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La Presidente costata che la Commissione raggiunge il quorum, sono</w:t>
      </w:r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infatti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presenti quattro di sei membri.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La Presidente apre la seduta e  mette ai voti il seguente 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BE306A" w:rsidRPr="00616B1E" w:rsidRDefault="00BE306A" w:rsidP="00BE30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dell’8</w:t>
      </w:r>
      <w:r w:rsidRPr="00616B1E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6 febbraio 2017;</w:t>
      </w:r>
      <w:proofErr w:type="gramEnd"/>
    </w:p>
    <w:p w:rsidR="00BE306A" w:rsidRPr="00616B1E" w:rsidRDefault="00BE306A" w:rsidP="00BE30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di fondazione dell'istituto pubblico di educazione e istruzione Scuola elementar</w:t>
      </w:r>
      <w:proofErr w:type="gram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e Dante Alighieri Isola –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Osnovna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šola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, prima lettura;</w:t>
      </w:r>
    </w:p>
    <w:p w:rsidR="00BE306A" w:rsidRPr="00616B1E" w:rsidRDefault="00BE306A" w:rsidP="00BE306A">
      <w:pPr>
        <w:pStyle w:val="Odstavekseznama"/>
        <w:numPr>
          <w:ilvl w:val="0"/>
          <w:numId w:val="2"/>
        </w:numPr>
        <w:jc w:val="both"/>
        <w:rPr>
          <w:b/>
          <w:lang w:val="it-IT"/>
        </w:rPr>
      </w:pPr>
      <w:r w:rsidRPr="00616B1E">
        <w:rPr>
          <w:b/>
          <w:lang w:val="it-IT"/>
        </w:rPr>
        <w:t>Varie.</w:t>
      </w:r>
    </w:p>
    <w:p w:rsidR="00BE306A" w:rsidRPr="00616B1E" w:rsidRDefault="00BE306A" w:rsidP="00BE30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noProof/>
          <w:sz w:val="24"/>
          <w:szCs w:val="24"/>
          <w:lang w:eastAsia="sl-SI"/>
        </w:rPr>
        <w:t>I membri presenti non hanno osservazioni e convalidano all'unanimità l’ordine del giorno proposto. Dei 4 membri presenti della Commissione per le questioni della nazionalità italiana, 4 si esprimono, 4 votano a favore, nessuno contro.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BE306A" w:rsidRPr="00616B1E" w:rsidRDefault="00BE306A" w:rsidP="00BE306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proofErr w:type="gramEnd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dell’8</w:t>
      </w:r>
      <w:r w:rsidRPr="00616B1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>a</w:t>
      </w:r>
      <w:r w:rsidRPr="00616B1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seduta ordinaria della Commissione, tenutasi il 6 febbraio </w:t>
      </w:r>
      <w:proofErr w:type="gramStart"/>
      <w:r w:rsidRPr="00616B1E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2017</w:t>
      </w:r>
      <w:proofErr w:type="gramEnd"/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La Presidente apre la discussione sul verbale. Siccome non ci sono osservazioni o proposte, la Presidente chiude la discussione e mette il verbale ai voti.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I membri della Commissione per le questioni della nazionalità italiana convalidano il verbale </w:t>
      </w:r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dell’8</w:t>
      </w:r>
      <w:r w:rsidRPr="00616B1E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>a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 xml:space="preserve"> </w:t>
      </w: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seduta della Commissione. Di quattro (4) membri presenti, quattro (4) si esprimono e quattro (4) votano a favore.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proofErr w:type="gramEnd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E306A" w:rsidRPr="00616B1E" w:rsidRDefault="00BE306A" w:rsidP="00BE306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di fondazione dell'istituto pubblico di educazione e istruzione Scuola elementar</w:t>
      </w:r>
      <w:proofErr w:type="gram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e Dante Alighieri Isola –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Osnovna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šola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616B1E">
        <w:rPr>
          <w:rFonts w:ascii="Times New Roman" w:hAnsi="Times New Roman"/>
          <w:b/>
          <w:color w:val="000000"/>
          <w:sz w:val="24"/>
          <w:szCs w:val="24"/>
          <w:lang w:bidi="kn-IN"/>
        </w:rPr>
        <w:t>, prima lettura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 xml:space="preserve">Il Capo </w:t>
      </w:r>
      <w:proofErr w:type="gramStart"/>
      <w:r w:rsidRPr="00616B1E">
        <w:rPr>
          <w:rFonts w:ascii="Times New Roman" w:hAnsi="Times New Roman"/>
          <w:sz w:val="24"/>
          <w:szCs w:val="24"/>
        </w:rPr>
        <w:t>dell’Ufficio attività sociali</w:t>
      </w:r>
      <w:proofErr w:type="gramEnd"/>
      <w:r w:rsidRPr="00616B1E">
        <w:rPr>
          <w:rFonts w:ascii="Times New Roman" w:hAnsi="Times New Roman"/>
          <w:sz w:val="24"/>
          <w:szCs w:val="24"/>
        </w:rPr>
        <w:t xml:space="preserve">, Kristina </w:t>
      </w:r>
      <w:proofErr w:type="spellStart"/>
      <w:r w:rsidRPr="00616B1E">
        <w:rPr>
          <w:rFonts w:ascii="Times New Roman" w:hAnsi="Times New Roman"/>
          <w:sz w:val="24"/>
          <w:szCs w:val="24"/>
        </w:rPr>
        <w:t>Zelić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 presenta la </w:t>
      </w:r>
      <w:r w:rsidR="009959D1" w:rsidRPr="00616B1E">
        <w:rPr>
          <w:rFonts w:ascii="Times New Roman" w:hAnsi="Times New Roman"/>
          <w:sz w:val="24"/>
          <w:szCs w:val="24"/>
        </w:rPr>
        <w:t>p</w:t>
      </w:r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 xml:space="preserve">roposta del Decreto di modifica e integrazione del Decreto di fondazione dell'istituto pubblico di educazione e istruzione Scuola elementare Dante Alighieri Isola – </w:t>
      </w:r>
      <w:proofErr w:type="spellStart"/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>Osnovna</w:t>
      </w:r>
      <w:proofErr w:type="spellEnd"/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 xml:space="preserve"> </w:t>
      </w:r>
      <w:proofErr w:type="spellStart"/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>šola</w:t>
      </w:r>
      <w:proofErr w:type="spellEnd"/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="009959D1" w:rsidRPr="00616B1E">
        <w:rPr>
          <w:rFonts w:ascii="Times New Roman" w:hAnsi="Times New Roman"/>
          <w:color w:val="000000"/>
          <w:sz w:val="24"/>
          <w:szCs w:val="24"/>
          <w:lang w:bidi="kn-IN"/>
        </w:rPr>
        <w:t>Izola</w:t>
      </w:r>
      <w:proofErr w:type="spellEnd"/>
      <w:r w:rsidR="00150BD1">
        <w:rPr>
          <w:rFonts w:ascii="Times New Roman" w:hAnsi="Times New Roman"/>
          <w:color w:val="000000"/>
          <w:sz w:val="24"/>
          <w:szCs w:val="24"/>
          <w:lang w:bidi="kn-IN"/>
        </w:rPr>
        <w:t>.</w:t>
      </w:r>
      <w:r w:rsidR="009959D1" w:rsidRPr="00616B1E">
        <w:rPr>
          <w:rFonts w:ascii="Times New Roman" w:hAnsi="Times New Roman"/>
          <w:sz w:val="24"/>
          <w:szCs w:val="24"/>
        </w:rPr>
        <w:t xml:space="preserve"> </w:t>
      </w: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B1E">
        <w:rPr>
          <w:rFonts w:ascii="Times New Roman" w:hAnsi="Times New Roman"/>
          <w:sz w:val="24"/>
          <w:szCs w:val="24"/>
        </w:rPr>
        <w:t>Sottolineando</w:t>
      </w:r>
      <w:proofErr w:type="gramEnd"/>
      <w:r w:rsidRPr="00616B1E">
        <w:rPr>
          <w:rFonts w:ascii="Times New Roman" w:hAnsi="Times New Roman"/>
          <w:sz w:val="24"/>
          <w:szCs w:val="24"/>
        </w:rPr>
        <w:t xml:space="preserve"> che si vuole difendere la specificità della comunità nazionale la Presidente, Ambra </w:t>
      </w:r>
      <w:proofErr w:type="spellStart"/>
      <w:r w:rsidRPr="00616B1E">
        <w:rPr>
          <w:rFonts w:ascii="Times New Roman" w:hAnsi="Times New Roman"/>
          <w:sz w:val="24"/>
          <w:szCs w:val="24"/>
        </w:rPr>
        <w:t>Šlosar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B1E">
        <w:rPr>
          <w:rFonts w:ascii="Times New Roman" w:hAnsi="Times New Roman"/>
          <w:sz w:val="24"/>
          <w:szCs w:val="24"/>
        </w:rPr>
        <w:t>Karbič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 presenta le </w:t>
      </w:r>
      <w:r w:rsidR="00150BD1">
        <w:rPr>
          <w:rFonts w:ascii="Times New Roman" w:hAnsi="Times New Roman"/>
          <w:sz w:val="24"/>
          <w:szCs w:val="24"/>
        </w:rPr>
        <w:t xml:space="preserve">proposte di </w:t>
      </w:r>
      <w:r w:rsidRPr="00616B1E">
        <w:rPr>
          <w:rFonts w:ascii="Times New Roman" w:hAnsi="Times New Roman"/>
          <w:sz w:val="24"/>
          <w:szCs w:val="24"/>
        </w:rPr>
        <w:t>modific</w:t>
      </w:r>
      <w:r w:rsidR="00150BD1">
        <w:rPr>
          <w:rFonts w:ascii="Times New Roman" w:hAnsi="Times New Roman"/>
          <w:sz w:val="24"/>
          <w:szCs w:val="24"/>
        </w:rPr>
        <w:t>a</w:t>
      </w:r>
      <w:r w:rsidRPr="00616B1E">
        <w:rPr>
          <w:rFonts w:ascii="Times New Roman" w:hAnsi="Times New Roman"/>
          <w:sz w:val="24"/>
          <w:szCs w:val="24"/>
        </w:rPr>
        <w:t xml:space="preserve"> da apportare alla proposta del Decreto:</w:t>
      </w: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ind w:right="312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Articolo </w:t>
      </w:r>
      <w:proofErr w:type="gramStart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42</w:t>
      </w:r>
      <w:proofErr w:type="gramEnd"/>
    </w:p>
    <w:p w:rsidR="009959D1" w:rsidRPr="00616B1E" w:rsidRDefault="009959D1" w:rsidP="009959D1">
      <w:pPr>
        <w:shd w:val="clear" w:color="auto" w:fill="FFFFFF" w:themeFill="background1"/>
        <w:spacing w:after="0"/>
        <w:ind w:right="312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616B1E">
        <w:rPr>
          <w:rFonts w:ascii="Times New Roman" w:eastAsia="Times New Roman" w:hAnsi="Times New Roman"/>
          <w:i/>
          <w:sz w:val="24"/>
          <w:szCs w:val="24"/>
        </w:rPr>
        <w:t>(1</w:t>
      </w:r>
      <w:proofErr w:type="gramEnd"/>
      <w:r w:rsidRPr="00616B1E">
        <w:rPr>
          <w:rFonts w:ascii="Times New Roman" w:eastAsia="Times New Roman" w:hAnsi="Times New Roman"/>
          <w:i/>
          <w:sz w:val="24"/>
          <w:szCs w:val="24"/>
        </w:rPr>
        <w:t xml:space="preserve">) L’istituto percepisce i fondi per l’esercizio delle proprie attività dal bilancio dello stato, dal bilancio comunale in conformità con la legge e con lo Statuto del Comune di Isola, </w:t>
      </w:r>
      <w:r w:rsidRPr="00616B1E">
        <w:rPr>
          <w:rFonts w:ascii="Times New Roman" w:eastAsia="Times New Roman" w:hAnsi="Times New Roman"/>
          <w:b/>
          <w:i/>
          <w:sz w:val="24"/>
          <w:szCs w:val="24"/>
          <w:u w:val="single"/>
        </w:rPr>
        <w:t>dal Ministero degli Affari Esteri della Repubblica Italiana per il tramite dell’Unione Italiana di Fiume e dall’Università popolare di Trieste</w:t>
      </w:r>
      <w:r w:rsidRPr="00616B1E">
        <w:rPr>
          <w:rFonts w:ascii="Times New Roman" w:eastAsia="Times New Roman" w:hAnsi="Times New Roman"/>
          <w:i/>
          <w:sz w:val="24"/>
          <w:szCs w:val="24"/>
        </w:rPr>
        <w:t>, dai contributi dei genitori, dai pagamenti corrisposti dai genitori per i servizi nell’ambito dell’educazione prescolare, dai mezzi ricavati dalla prestazione di servizi o dalla vendita di prodotti, da donazioni, da sponsorizzazioni e anche da altre fonti.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proofErr w:type="gramStart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(2</w:t>
      </w:r>
      <w:proofErr w:type="gramEnd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) Compete ai cofondatori (i.e. al Consiglio comunale ed al Consiglio della CAN) su proposta del preside</w:t>
      </w:r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 </w:t>
      </w:r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  <w:t>e del Consiglio d’Istituto</w:t>
      </w:r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deliberare in merito alla </w:t>
      </w:r>
      <w:r w:rsidRPr="00616B1E">
        <w:rPr>
          <w:rFonts w:ascii="Times New Roman" w:eastAsia="Times New Roman" w:hAnsi="Times New Roman"/>
          <w:i/>
          <w:sz w:val="24"/>
          <w:szCs w:val="24"/>
        </w:rPr>
        <w:t>ripartizione dell’eccedenza corrente delle entrate sulle uscite, ed in merito alla ripartizione delle eccedenze precedenti, non ancora utilizzate, delle entrate sulle uscite.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gramStart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(3</w:t>
      </w:r>
      <w:proofErr w:type="gramEnd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) </w:t>
      </w:r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  <w:t>I cofondatori possono</w:t>
      </w:r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adottare la decisione che l’eccedenza delle entrate sulle uscite debba essere versata nel </w:t>
      </w:r>
      <w:r w:rsidRPr="00616B1E">
        <w:rPr>
          <w:rFonts w:ascii="Times New Roman" w:eastAsia="Times New Roman" w:hAnsi="Times New Roman"/>
          <w:i/>
          <w:sz w:val="24"/>
          <w:szCs w:val="24"/>
        </w:rPr>
        <w:t>bilancio comunale</w:t>
      </w:r>
      <w:r w:rsidRPr="00616B1E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616B1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Tali mezzi devono essere destinati unicamente al finanziamento degli investimenti e allo sviluppo delle attività dell’ente. 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proofErr w:type="gramStart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(4</w:t>
      </w:r>
      <w:proofErr w:type="gramEnd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) La deliberazione in merito alle modalità di copertura dell’eccedenza delle uscite sulle entrate viene adottata dai cofondatori, previo ottenimento dei pareri del preside e del Consiglio d’Istituto. 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proofErr w:type="gramStart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(5</w:t>
      </w:r>
      <w:proofErr w:type="gramEnd"/>
      <w:r w:rsidRPr="00616B1E">
        <w:rPr>
          <w:rFonts w:ascii="Times New Roman" w:eastAsia="Times New Roman" w:hAnsi="Times New Roman"/>
          <w:i/>
          <w:snapToGrid w:val="0"/>
          <w:sz w:val="24"/>
          <w:szCs w:val="24"/>
        </w:rPr>
        <w:t>) L’eccedenza delle entrate sulle uscite, riconducibile ai prezzi dei programmi della scuola materna esercitante il pubblico servizio, viene presa in considerazione nella prima successiva definizione dei prezzi dei programmi.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</w:pPr>
      <w:proofErr w:type="gramStart"/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  <w:t>(6</w:t>
      </w:r>
      <w:proofErr w:type="gramEnd"/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  <w:t xml:space="preserve">) PER ESIGENZE CONNESSE AD INVESTIMENTI O SPESE URGENTI ED IMPREVISTE,  NECESSARIE AL NORMALE FUNZIONAMENTO DEI SERVIZI OFFERTI DALL’ISTITUTO, LA PRESIDE, IN QUANTO RESPONSABILE </w:t>
      </w:r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</w:rPr>
        <w:lastRenderedPageBreak/>
        <w:t>DELL’ISTITUTO, PUÒ DISPORRE DELL’ECCEDENZA DELLE ENTRATE SULLE USCITE INFORMANDO I DUE COFONDATORI.</w:t>
      </w: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</w:p>
    <w:p w:rsidR="009959D1" w:rsidRPr="00616B1E" w:rsidRDefault="009959D1" w:rsidP="009959D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616B1E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All’art. 41, secondo capoverso si aggiunge:</w:t>
      </w:r>
    </w:p>
    <w:p w:rsidR="009959D1" w:rsidRPr="00616B1E" w:rsidRDefault="009959D1" w:rsidP="009959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proofErr w:type="gramStart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>(2</w:t>
      </w:r>
      <w:proofErr w:type="gramEnd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) Per l’esercizio delle attività, i cofondatori assicurano all’istituto gli immobili e l’arredamento di cui l’istituto ha usufruito per l’esercizio della propria attività fino al momento dell’entrata in vigore del presente atto e risultanti nello stato patrimoniale approvato nell’ultimo bilancio d’esercizio. </w:t>
      </w:r>
      <w:proofErr w:type="gramStart"/>
      <w:r w:rsidRPr="00616B1E">
        <w:rPr>
          <w:rFonts w:ascii="Times New Roman" w:eastAsia="Times New Roman" w:hAnsi="Times New Roman"/>
          <w:b/>
          <w:i/>
          <w:sz w:val="24"/>
          <w:szCs w:val="24"/>
          <w:u w:val="single"/>
          <w:lang w:eastAsia="sl-SI"/>
        </w:rPr>
        <w:t>I BENI MOBILI ED IMMOBILI FORNITI ALL’ISTITUTO DAI COFONDATORI VENGONO EVIDENZIATI SEPARATAMENTE NELL’AMBITO DELL’EVIDENZA DEI MEZZI FONDAME</w:t>
      </w:r>
      <w:proofErr w:type="gramEnd"/>
      <w:r w:rsidRPr="00616B1E">
        <w:rPr>
          <w:rFonts w:ascii="Times New Roman" w:eastAsia="Times New Roman" w:hAnsi="Times New Roman"/>
          <w:b/>
          <w:i/>
          <w:sz w:val="24"/>
          <w:szCs w:val="24"/>
          <w:u w:val="single"/>
          <w:lang w:eastAsia="sl-SI"/>
        </w:rPr>
        <w:t>NTALI DELL’ISTITUTO, IN CONFORMITÀ AL REGOLAMENTO SULLA CONTABILITÀ. IL PATRIMONIO DATO IN GESTIONE ALL’ISTITUTO DAI COFONDATORI, PER L’ESERCIZIO DELLE ATTIVITÀ STABILITE CON QUESTO DECRETO, È DI PROPRIETÀ DEI COFONDATORI.</w:t>
      </w:r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Entro </w:t>
      </w:r>
      <w:proofErr w:type="gramStart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>30</w:t>
      </w:r>
      <w:proofErr w:type="gramEnd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giorni dall’entrata in vigore del presente decreto i cofondatori regolano con apposito contratto i reciproci diritti, obblighi e responsabilità. </w:t>
      </w:r>
      <w:proofErr w:type="gramStart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>A</w:t>
      </w:r>
      <w:proofErr w:type="gramEnd"/>
      <w:r w:rsidRPr="00616B1E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 nome del Comune di Isola, il contratto di cui al primo comma del presente articolo viene sottoscritto dal sindaco.</w:t>
      </w: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 xml:space="preserve">Bisogna inoltre chiedere al revisore statale, alla Sig.ra Vida </w:t>
      </w:r>
      <w:proofErr w:type="spellStart"/>
      <w:r w:rsidRPr="00616B1E">
        <w:rPr>
          <w:rFonts w:ascii="Times New Roman" w:hAnsi="Times New Roman"/>
          <w:sz w:val="24"/>
          <w:szCs w:val="24"/>
        </w:rPr>
        <w:t>Žurga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, se dal testo della proposta di Decreto </w:t>
      </w:r>
      <w:proofErr w:type="gramStart"/>
      <w:r w:rsidRPr="00616B1E">
        <w:rPr>
          <w:rFonts w:ascii="Times New Roman" w:hAnsi="Times New Roman"/>
          <w:sz w:val="24"/>
          <w:szCs w:val="24"/>
        </w:rPr>
        <w:t>risulta</w:t>
      </w:r>
      <w:proofErr w:type="gramEnd"/>
      <w:r w:rsidRPr="00616B1E">
        <w:rPr>
          <w:rFonts w:ascii="Times New Roman" w:hAnsi="Times New Roman"/>
          <w:sz w:val="24"/>
          <w:szCs w:val="24"/>
        </w:rPr>
        <w:t xml:space="preserve"> logico che l’eccedenza delle entrate sulle uscite si calcola alla fine dell’anno (o anche durante l’anno).</w:t>
      </w:r>
      <w:r w:rsidR="00150BD1">
        <w:rPr>
          <w:rFonts w:ascii="Times New Roman" w:hAnsi="Times New Roman"/>
          <w:sz w:val="24"/>
          <w:szCs w:val="24"/>
        </w:rPr>
        <w:t xml:space="preserve"> Si tratta soprattutto dei mezzi destinati </w:t>
      </w:r>
      <w:proofErr w:type="gramStart"/>
      <w:r w:rsidR="00150BD1">
        <w:rPr>
          <w:rFonts w:ascii="Times New Roman" w:hAnsi="Times New Roman"/>
          <w:sz w:val="24"/>
          <w:szCs w:val="24"/>
        </w:rPr>
        <w:t>ad</w:t>
      </w:r>
      <w:proofErr w:type="gramEnd"/>
      <w:r w:rsidR="00150BD1">
        <w:rPr>
          <w:rFonts w:ascii="Times New Roman" w:hAnsi="Times New Roman"/>
          <w:sz w:val="24"/>
          <w:szCs w:val="24"/>
        </w:rPr>
        <w:t xml:space="preserve"> investimenti e spese urgenti e imprevedibili (da ciò la proposta dell’aggiunta del comma 6).</w:t>
      </w:r>
    </w:p>
    <w:p w:rsidR="009959D1" w:rsidRPr="00616B1E" w:rsidRDefault="009959D1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 xml:space="preserve">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 xml:space="preserve">La Presidente apre la discussione, cui partecipano: Kristina </w:t>
      </w:r>
      <w:proofErr w:type="spellStart"/>
      <w:r w:rsidRPr="00616B1E">
        <w:rPr>
          <w:rFonts w:ascii="Times New Roman" w:hAnsi="Times New Roman"/>
          <w:sz w:val="24"/>
          <w:szCs w:val="24"/>
        </w:rPr>
        <w:t>Zelić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, Simona Angelini, Felice </w:t>
      </w:r>
      <w:proofErr w:type="spellStart"/>
      <w:r w:rsidRPr="00616B1E">
        <w:rPr>
          <w:rFonts w:ascii="Times New Roman" w:hAnsi="Times New Roman"/>
          <w:sz w:val="24"/>
          <w:szCs w:val="24"/>
        </w:rPr>
        <w:t>Žiža</w:t>
      </w:r>
      <w:proofErr w:type="spellEnd"/>
      <w:r w:rsidR="009959D1" w:rsidRPr="00616B1E">
        <w:rPr>
          <w:rFonts w:ascii="Times New Roman" w:hAnsi="Times New Roman"/>
          <w:sz w:val="24"/>
          <w:szCs w:val="24"/>
        </w:rPr>
        <w:t>,</w:t>
      </w:r>
      <w:r w:rsidRPr="00616B1E">
        <w:rPr>
          <w:rFonts w:ascii="Times New Roman" w:hAnsi="Times New Roman"/>
          <w:sz w:val="24"/>
          <w:szCs w:val="24"/>
        </w:rPr>
        <w:t xml:space="preserve"> Ambra </w:t>
      </w:r>
      <w:proofErr w:type="spellStart"/>
      <w:r w:rsidRPr="00616B1E">
        <w:rPr>
          <w:rFonts w:ascii="Times New Roman" w:hAnsi="Times New Roman"/>
          <w:sz w:val="24"/>
          <w:szCs w:val="24"/>
        </w:rPr>
        <w:t>Šlosar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B1E">
        <w:rPr>
          <w:rFonts w:ascii="Times New Roman" w:hAnsi="Times New Roman"/>
          <w:sz w:val="24"/>
          <w:szCs w:val="24"/>
        </w:rPr>
        <w:t>Karbič</w:t>
      </w:r>
      <w:proofErr w:type="spellEnd"/>
      <w:r w:rsidR="009959D1" w:rsidRPr="00616B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959D1" w:rsidRPr="00616B1E">
        <w:rPr>
          <w:rFonts w:ascii="Times New Roman" w:hAnsi="Times New Roman"/>
          <w:sz w:val="24"/>
          <w:szCs w:val="24"/>
        </w:rPr>
        <w:t>Ljubo</w:t>
      </w:r>
      <w:proofErr w:type="spellEnd"/>
      <w:r w:rsidR="009959D1" w:rsidRPr="0061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9D1" w:rsidRPr="00616B1E">
        <w:rPr>
          <w:rFonts w:ascii="Times New Roman" w:hAnsi="Times New Roman"/>
          <w:sz w:val="24"/>
          <w:szCs w:val="24"/>
        </w:rPr>
        <w:t>Klajnšček</w:t>
      </w:r>
      <w:proofErr w:type="spellEnd"/>
      <w:r w:rsidRPr="00616B1E">
        <w:rPr>
          <w:rFonts w:ascii="Times New Roman" w:hAnsi="Times New Roman"/>
          <w:sz w:val="24"/>
          <w:szCs w:val="24"/>
        </w:rPr>
        <w:t xml:space="preserve">.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>La Presidente chiude l</w:t>
      </w:r>
      <w:r w:rsidR="00150BD1">
        <w:rPr>
          <w:rFonts w:ascii="Times New Roman" w:hAnsi="Times New Roman"/>
          <w:sz w:val="24"/>
          <w:szCs w:val="24"/>
        </w:rPr>
        <w:t>a discussione e mette ai voti la seguente delibera</w:t>
      </w:r>
      <w:bookmarkStart w:id="0" w:name="_GoBack"/>
      <w:bookmarkEnd w:id="0"/>
      <w:r w:rsidRPr="00616B1E">
        <w:rPr>
          <w:rFonts w:ascii="Times New Roman" w:hAnsi="Times New Roman"/>
          <w:sz w:val="24"/>
          <w:szCs w:val="24"/>
        </w:rPr>
        <w:t>: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6A" w:rsidRPr="00616B1E" w:rsidRDefault="00BE306A" w:rsidP="00BE30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>1</w:t>
      </w: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9959D1" w:rsidRPr="00616B1E" w:rsidRDefault="009959D1" w:rsidP="009959D1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616B1E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ha esaminato la proposta del </w:t>
      </w:r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 xml:space="preserve">Decreto di modifica e integrazione del Decreto di fondazione dell'istituto pubblico di educazione e istruzione Scuola elementare Dante Alighieri Isola – </w:t>
      </w:r>
      <w:proofErr w:type="spellStart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>Osnovna</w:t>
      </w:r>
      <w:proofErr w:type="spellEnd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>šola</w:t>
      </w:r>
      <w:proofErr w:type="spellEnd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>Izola</w:t>
      </w:r>
      <w:proofErr w:type="spellEnd"/>
      <w:r w:rsidRPr="00616B1E">
        <w:rPr>
          <w:rFonts w:ascii="Times New Roman" w:eastAsiaTheme="minorHAnsi" w:hAnsi="Times New Roman" w:cstheme="minorBidi"/>
          <w:b/>
          <w:color w:val="000000"/>
          <w:sz w:val="24"/>
          <w:szCs w:val="24"/>
          <w:lang w:bidi="kn-IN"/>
        </w:rPr>
        <w:t xml:space="preserve"> con le proposte di modifica e</w:t>
      </w:r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 la sottopone all’esame e all’accoglimento del Consiglio comunale alla sua prima lettura e all’esame di </w:t>
      </w:r>
      <w:proofErr w:type="gramStart"/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30</w:t>
      </w:r>
      <w:proofErr w:type="gramEnd"/>
      <w:r w:rsidRPr="00616B1E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 giorni ai membri del Consiglio comunale.</w:t>
      </w:r>
    </w:p>
    <w:p w:rsidR="00BE306A" w:rsidRPr="00616B1E" w:rsidRDefault="00BE306A" w:rsidP="00BE306A">
      <w:pPr>
        <w:rPr>
          <w:rFonts w:ascii="Times New Roman" w:hAnsi="Times New Roman"/>
          <w:sz w:val="24"/>
          <w:szCs w:val="24"/>
        </w:rPr>
      </w:pPr>
      <w:r w:rsidRPr="00616B1E">
        <w:rPr>
          <w:rFonts w:ascii="Times New Roman" w:hAnsi="Times New Roman"/>
          <w:sz w:val="24"/>
          <w:szCs w:val="24"/>
        </w:rPr>
        <w:t>I membri della Commissione accolgono la Delibera all’unanimità, di quattro (4) membri presenti, quattro (4) votano a favore, nessuno contro.</w:t>
      </w:r>
    </w:p>
    <w:p w:rsidR="00BE306A" w:rsidRPr="00616B1E" w:rsidRDefault="00774FA5" w:rsidP="00BE306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3</w:t>
      </w:r>
      <w:proofErr w:type="gramEnd"/>
      <w:r w:rsidR="00BE306A"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b/>
          <w:sz w:val="24"/>
          <w:szCs w:val="24"/>
          <w:lang w:eastAsia="sl-SI"/>
        </w:rPr>
        <w:t>Varie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E306A" w:rsidRPr="00616B1E" w:rsidRDefault="00774FA5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Al punto Varie non ci sono proposte.</w:t>
      </w:r>
    </w:p>
    <w:p w:rsidR="00774FA5" w:rsidRPr="00616B1E" w:rsidRDefault="00774FA5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L</w:t>
      </w:r>
      <w:r w:rsidR="00774FA5"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a seduta si </w:t>
      </w:r>
      <w:proofErr w:type="gramStart"/>
      <w:r w:rsidR="00774FA5" w:rsidRPr="00616B1E">
        <w:rPr>
          <w:rFonts w:ascii="Times New Roman" w:eastAsia="Times New Roman" w:hAnsi="Times New Roman"/>
          <w:sz w:val="24"/>
          <w:szCs w:val="24"/>
          <w:lang w:eastAsia="sl-SI"/>
        </w:rPr>
        <w:t>conclude</w:t>
      </w:r>
      <w:proofErr w:type="gramEnd"/>
      <w:r w:rsidR="00774FA5"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alle ore 16.42</w:t>
      </w: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.   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</w:p>
    <w:p w:rsidR="00BE306A" w:rsidRPr="00616B1E" w:rsidRDefault="00BE306A" w:rsidP="00BE306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      L a</w:t>
      </w:r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P r e s i d e n t e</w:t>
      </w:r>
    </w:p>
    <w:p w:rsidR="00BE306A" w:rsidRPr="00616B1E" w:rsidRDefault="00BE306A" w:rsidP="00BE30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Ambra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m.p</w:t>
      </w:r>
      <w:proofErr w:type="gramEnd"/>
      <w:r w:rsidRPr="00616B1E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End"/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6BA"/>
    <w:multiLevelType w:val="hybridMultilevel"/>
    <w:tmpl w:val="64CEC746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A"/>
    <w:rsid w:val="00150BD1"/>
    <w:rsid w:val="004B7BE7"/>
    <w:rsid w:val="005B2FB4"/>
    <w:rsid w:val="00616B1E"/>
    <w:rsid w:val="00661A69"/>
    <w:rsid w:val="00774FA5"/>
    <w:rsid w:val="009959D1"/>
    <w:rsid w:val="00B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06A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0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E30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06A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0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E30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2017-03-28T12:07:00Z</dcterms:created>
  <dcterms:modified xsi:type="dcterms:W3CDTF">2017-03-28T12:34:00Z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