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FE" w:rsidRPr="0098099B" w:rsidRDefault="001F5CFE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099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42D24EA" wp14:editId="02EE0A5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9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OBČINA IZOLA – COMUNE DI ISOLA</w:t>
      </w:r>
      <w:r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</w:t>
      </w:r>
      <w:r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PROPOSTA</w:t>
      </w:r>
      <w:r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</w:t>
      </w:r>
      <w:r w:rsidRPr="009809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F5CFE" w:rsidRPr="0098099B" w:rsidRDefault="001F5CFE" w:rsidP="001F5CF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809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 – CONSIGLIO COMUNALE</w:t>
      </w:r>
    </w:p>
    <w:p w:rsidR="001F5CFE" w:rsidRPr="0098099B" w:rsidRDefault="001F5CFE" w:rsidP="001F5CFE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proofErr w:type="spellStart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Sončno</w:t>
      </w:r>
      <w:proofErr w:type="spellEnd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nabrežje</w:t>
      </w:r>
      <w:proofErr w:type="spellEnd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8 – Riva del Sole </w:t>
      </w:r>
      <w:proofErr w:type="gramStart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8</w:t>
      </w:r>
      <w:proofErr w:type="gramEnd"/>
    </w:p>
    <w:p w:rsidR="001F5CFE" w:rsidRPr="0098099B" w:rsidRDefault="001F5CFE" w:rsidP="001F5CF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proofErr w:type="gramStart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6310</w:t>
      </w:r>
      <w:proofErr w:type="gramEnd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Izola</w:t>
      </w:r>
      <w:proofErr w:type="spellEnd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– Isola</w:t>
      </w:r>
    </w:p>
    <w:p w:rsidR="001F5CFE" w:rsidRPr="0098099B" w:rsidRDefault="001F5CFE" w:rsidP="001F5CFE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proofErr w:type="spellStart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Tel</w:t>
      </w:r>
      <w:proofErr w:type="spellEnd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proofErr w:type="gramStart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05</w:t>
      </w:r>
      <w:proofErr w:type="gramEnd"/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66 00 100, Fax: 05 66 00 110</w:t>
      </w:r>
    </w:p>
    <w:p w:rsidR="001F5CFE" w:rsidRPr="0098099B" w:rsidRDefault="001F5CFE" w:rsidP="001F5CFE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98099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E-mail: </w:t>
      </w:r>
      <w:hyperlink r:id="rId7" w:history="1">
        <w:r w:rsidRPr="0098099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1F5CFE" w:rsidRPr="008E6581" w:rsidRDefault="001F5CFE" w:rsidP="001F5CFE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  <w:r w:rsidRPr="008E65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l-SI"/>
        </w:rPr>
        <w:t xml:space="preserve">Web: </w:t>
      </w:r>
      <w:hyperlink r:id="rId8" w:history="1">
        <w:r w:rsidRPr="008E65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sl-SI"/>
          </w:rPr>
          <w:t>http://www.izola.si/</w:t>
        </w:r>
      </w:hyperlink>
    </w:p>
    <w:p w:rsidR="001F5CFE" w:rsidRPr="008E6581" w:rsidRDefault="001F5CFE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:rsidR="001F5CFE" w:rsidRPr="0098099B" w:rsidRDefault="003C0E49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="001F5CFE"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1F5CFE"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354-180/2013</w:t>
      </w:r>
    </w:p>
    <w:p w:rsidR="001F5CFE" w:rsidRPr="0098099B" w:rsidRDefault="003C0E49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="001F5CFE"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proofErr w:type="gramStart"/>
      <w:r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1F5CFE"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gramEnd"/>
      <w:r w:rsidR="001F5CFE"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30.06.2016</w:t>
      </w:r>
    </w:p>
    <w:p w:rsidR="001F5CFE" w:rsidRPr="0098099B" w:rsidRDefault="001F5CFE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5CFE" w:rsidRPr="0098099B" w:rsidRDefault="003C0E49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lang w:eastAsia="sl-SI"/>
        </w:rPr>
        <w:t xml:space="preserve">In virtù dell'articolo 29 della Legge sulle autonomie locali (Gazzetta Ufficiale della RS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nn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>.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</w:t>
      </w:r>
      <w:hyperlink r:id="rId9" w:tgtFrame="_blank" w:tooltip="Zakon o lokalni samoupravi (uradno prečiščeno besedilo)" w:history="1">
        <w:r w:rsidR="001F5CFE" w:rsidRPr="0098099B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94/07</w:t>
        </w:r>
      </w:hyperlink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– </w:t>
      </w:r>
      <w:r w:rsidRPr="0098099B">
        <w:rPr>
          <w:rFonts w:ascii="Times New Roman" w:eastAsia="Times New Roman" w:hAnsi="Times New Roman" w:cs="Times New Roman"/>
          <w:lang w:eastAsia="sl-SI"/>
        </w:rPr>
        <w:t>testo unico ufficiale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10" w:tgtFrame="_blank" w:tooltip="Zakon o dopolnitvi Zakona o lokalni samoupravi" w:history="1">
        <w:r w:rsidR="001F5CFE" w:rsidRPr="0098099B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76/08</w:t>
        </w:r>
      </w:hyperlink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11" w:tgtFrame="_blank" w:tooltip="Zakon o spremembah in dopolnitvah Zakona o lokalni samoupravi" w:history="1">
        <w:r w:rsidR="001F5CFE" w:rsidRPr="0098099B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79/09</w:t>
        </w:r>
      </w:hyperlink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12" w:tgtFrame="_blank" w:tooltip="Zakon o spremembah in dopolnitvah Zakona o lokalni samoupravi" w:history="1">
        <w:r w:rsidR="001F5CFE" w:rsidRPr="0098099B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51/10</w:t>
        </w:r>
      </w:hyperlink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13" w:tgtFrame="_blank" w:tooltip="Zakon za uravnoteženje javnih financ" w:history="1">
        <w:r w:rsidR="001F5CFE" w:rsidRPr="0098099B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40/12</w:t>
        </w:r>
      </w:hyperlink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– </w:t>
      </w:r>
      <w:r w:rsidRPr="0098099B">
        <w:rPr>
          <w:rFonts w:ascii="Times New Roman" w:eastAsia="Times New Roman" w:hAnsi="Times New Roman" w:cs="Times New Roman"/>
          <w:lang w:eastAsia="sl-SI"/>
        </w:rPr>
        <w:t xml:space="preserve">Sigla: 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ZUJF </w:t>
      </w:r>
      <w:r w:rsidRPr="0098099B">
        <w:rPr>
          <w:rFonts w:ascii="Times New Roman" w:eastAsia="Times New Roman" w:hAnsi="Times New Roman" w:cs="Times New Roman"/>
          <w:lang w:eastAsia="sl-SI"/>
        </w:rPr>
        <w:t>e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</w:t>
      </w:r>
      <w:hyperlink r:id="rId14" w:tgtFrame="_blank" w:tooltip="Zakon o ukrepih za uravnoteženje javnih financ občin" w:history="1">
        <w:r w:rsidR="001F5CFE" w:rsidRPr="0098099B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14/15</w:t>
        </w:r>
      </w:hyperlink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– </w:t>
      </w:r>
      <w:r w:rsidRPr="0098099B">
        <w:rPr>
          <w:rFonts w:ascii="Times New Roman" w:eastAsia="Times New Roman" w:hAnsi="Times New Roman" w:cs="Times New Roman"/>
          <w:lang w:eastAsia="sl-SI"/>
        </w:rPr>
        <w:t xml:space="preserve">Sigla: 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ZUUJFO), </w:t>
      </w:r>
      <w:r w:rsidRPr="0098099B">
        <w:rPr>
          <w:rFonts w:ascii="Times New Roman" w:eastAsia="Times New Roman" w:hAnsi="Times New Roman" w:cs="Times New Roman"/>
          <w:lang w:eastAsia="sl-SI"/>
        </w:rPr>
        <w:t xml:space="preserve">degli articoli 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>30</w:t>
      </w:r>
      <w:r w:rsidRPr="0098099B">
        <w:rPr>
          <w:rFonts w:ascii="Times New Roman" w:eastAsia="Times New Roman" w:hAnsi="Times New Roman" w:cs="Times New Roman"/>
          <w:lang w:eastAsia="sl-SI"/>
        </w:rPr>
        <w:t xml:space="preserve"> e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100</w:t>
      </w:r>
      <w:r w:rsidRPr="0098099B">
        <w:rPr>
          <w:rFonts w:ascii="Times New Roman" w:eastAsia="Times New Roman" w:hAnsi="Times New Roman" w:cs="Times New Roman"/>
          <w:lang w:eastAsia="sl-SI"/>
        </w:rPr>
        <w:t xml:space="preserve"> dello Statuto del Comune di Isola (Bollettino Ufficiale del Comune di Isola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nn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>. 15/99, 17/12 e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6/14) </w:t>
      </w:r>
      <w:r w:rsidRPr="0098099B">
        <w:rPr>
          <w:rFonts w:ascii="Times New Roman" w:eastAsia="Times New Roman" w:hAnsi="Times New Roman" w:cs="Times New Roman"/>
          <w:lang w:eastAsia="sl-SI"/>
        </w:rPr>
        <w:t>e dell'articolo 13 del Decreto sulla regolazione dello status dell'azienda pubblica »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Javno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podjetje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Komunala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Izola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d.o.o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. – Azienda pubblica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Komunala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 Isola S.r.l. (Bollettino Ufficiale del Comune di Isola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nn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>.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24/2011 – </w:t>
      </w:r>
      <w:r w:rsidRPr="0098099B">
        <w:rPr>
          <w:rFonts w:ascii="Times New Roman" w:eastAsia="Times New Roman" w:hAnsi="Times New Roman" w:cs="Times New Roman"/>
          <w:lang w:eastAsia="sl-SI"/>
        </w:rPr>
        <w:t>testo unico ufficiale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, 15/15) </w:t>
      </w:r>
      <w:r w:rsidRPr="0098099B">
        <w:rPr>
          <w:rFonts w:ascii="Times New Roman" w:eastAsia="Times New Roman" w:hAnsi="Times New Roman" w:cs="Times New Roman"/>
          <w:lang w:eastAsia="sl-SI"/>
        </w:rPr>
        <w:t>e dell'articolo 45 del Decreto sul servizio cimiteriale e funerario nel territorio del Comune di Isola (Bollettino Ufficiale del Comune di Isola n.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8/12)</w:t>
      </w:r>
      <w:r w:rsidRPr="0098099B">
        <w:rPr>
          <w:rFonts w:ascii="Times New Roman" w:eastAsia="Times New Roman" w:hAnsi="Times New Roman" w:cs="Times New Roman"/>
          <w:lang w:eastAsia="sl-SI"/>
        </w:rPr>
        <w:t>, il Consiglio del Comune di Isola, riunitosi il 30 giugno 2016 alla sua 13</w:t>
      </w:r>
      <w:r w:rsidRPr="0098099B">
        <w:rPr>
          <w:rFonts w:ascii="Times New Roman" w:eastAsia="Times New Roman" w:hAnsi="Times New Roman" w:cs="Times New Roman"/>
          <w:vertAlign w:val="superscript"/>
          <w:lang w:eastAsia="sl-SI"/>
        </w:rPr>
        <w:t>a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 </w:t>
      </w:r>
      <w:r w:rsidRPr="0098099B">
        <w:rPr>
          <w:rFonts w:ascii="Times New Roman" w:eastAsia="Times New Roman" w:hAnsi="Times New Roman" w:cs="Times New Roman"/>
          <w:lang w:eastAsia="sl-SI"/>
        </w:rPr>
        <w:t xml:space="preserve">seduta ordinaria, su proposta dell'esercente del servizio pubblico, l'Azienda pubblica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Komunala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 Isola S.r.l. e con convalida dei tariffari da parte del Consiglio di controllo dell'AP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Komunala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 Isola S.r.l., avvenuta l'8 giugno 2016</w:t>
      </w:r>
      <w:r w:rsidR="004902B0" w:rsidRPr="0098099B">
        <w:rPr>
          <w:rFonts w:ascii="Times New Roman" w:eastAsia="Times New Roman" w:hAnsi="Times New Roman" w:cs="Times New Roman"/>
          <w:lang w:eastAsia="sl-SI"/>
        </w:rPr>
        <w:t>, accoglie il seguente atto di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1F5CFE" w:rsidRPr="0098099B" w:rsidRDefault="001F5CFE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F5CFE" w:rsidRPr="0098099B" w:rsidRDefault="004902B0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98099B">
        <w:rPr>
          <w:rFonts w:ascii="Times New Roman" w:eastAsia="Times New Roman" w:hAnsi="Times New Roman" w:cs="Times New Roman"/>
          <w:b/>
          <w:lang w:eastAsia="sl-SI"/>
        </w:rPr>
        <w:t>D</w:t>
      </w:r>
      <w:proofErr w:type="gramStart"/>
      <w:r w:rsidR="001F5CFE" w:rsidRPr="0098099B">
        <w:rPr>
          <w:rFonts w:ascii="Times New Roman" w:eastAsia="Times New Roman" w:hAnsi="Times New Roman" w:cs="Times New Roman"/>
          <w:b/>
          <w:lang w:eastAsia="sl-SI"/>
        </w:rPr>
        <w:t xml:space="preserve">  </w:t>
      </w:r>
      <w:proofErr w:type="gramEnd"/>
      <w:r w:rsidRPr="0098099B">
        <w:rPr>
          <w:rFonts w:ascii="Times New Roman" w:eastAsia="Times New Roman" w:hAnsi="Times New Roman" w:cs="Times New Roman"/>
          <w:b/>
          <w:lang w:eastAsia="sl-SI"/>
        </w:rPr>
        <w:t>E</w:t>
      </w:r>
      <w:r w:rsidR="001F5CFE" w:rsidRPr="0098099B">
        <w:rPr>
          <w:rFonts w:ascii="Times New Roman" w:eastAsia="Times New Roman" w:hAnsi="Times New Roman" w:cs="Times New Roman"/>
          <w:b/>
          <w:lang w:eastAsia="sl-SI"/>
        </w:rPr>
        <w:t xml:space="preserve">  L  </w:t>
      </w:r>
      <w:r w:rsidRPr="0098099B">
        <w:rPr>
          <w:rFonts w:ascii="Times New Roman" w:eastAsia="Times New Roman" w:hAnsi="Times New Roman" w:cs="Times New Roman"/>
          <w:b/>
          <w:lang w:eastAsia="sl-SI"/>
        </w:rPr>
        <w:t>I</w:t>
      </w:r>
      <w:r w:rsidR="001F5CFE" w:rsidRPr="0098099B">
        <w:rPr>
          <w:rFonts w:ascii="Times New Roman" w:eastAsia="Times New Roman" w:hAnsi="Times New Roman" w:cs="Times New Roman"/>
          <w:b/>
          <w:lang w:eastAsia="sl-SI"/>
        </w:rPr>
        <w:t xml:space="preserve">  </w:t>
      </w:r>
      <w:r w:rsidRPr="0098099B">
        <w:rPr>
          <w:rFonts w:ascii="Times New Roman" w:eastAsia="Times New Roman" w:hAnsi="Times New Roman" w:cs="Times New Roman"/>
          <w:b/>
          <w:lang w:eastAsia="sl-SI"/>
        </w:rPr>
        <w:t>B  E  R  A</w:t>
      </w:r>
    </w:p>
    <w:p w:rsidR="001F5CFE" w:rsidRPr="0098099B" w:rsidRDefault="001F5CFE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1F5CFE" w:rsidRPr="0098099B" w:rsidRDefault="004902B0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lang w:eastAsia="sl-SI"/>
        </w:rPr>
        <w:t>1</w:t>
      </w:r>
    </w:p>
    <w:p w:rsidR="001F5CFE" w:rsidRPr="0098099B" w:rsidRDefault="004902B0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lang w:eastAsia="sl-SI"/>
        </w:rPr>
        <w:t xml:space="preserve">Si convalida l'Elaborato di stesura dei prezzi del servizio pubblico di rilevanza economica obbligatorio cimiteriale e funerario, </w:t>
      </w:r>
      <w:proofErr w:type="spellStart"/>
      <w:proofErr w:type="gramStart"/>
      <w:r w:rsidRPr="0098099B">
        <w:rPr>
          <w:rFonts w:ascii="Times New Roman" w:eastAsia="Times New Roman" w:hAnsi="Times New Roman" w:cs="Times New Roman"/>
          <w:lang w:eastAsia="sl-SI"/>
        </w:rPr>
        <w:t>prot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>.</w:t>
      </w:r>
      <w:proofErr w:type="gramEnd"/>
      <w:r w:rsidRPr="0098099B">
        <w:rPr>
          <w:rFonts w:ascii="Times New Roman" w:eastAsia="Times New Roman" w:hAnsi="Times New Roman" w:cs="Times New Roman"/>
          <w:lang w:eastAsia="sl-SI"/>
        </w:rPr>
        <w:t xml:space="preserve"> n. 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>1751/2016</w:t>
      </w:r>
      <w:r w:rsidRPr="0098099B">
        <w:rPr>
          <w:rFonts w:ascii="Times New Roman" w:eastAsia="Times New Roman" w:hAnsi="Times New Roman" w:cs="Times New Roman"/>
          <w:lang w:eastAsia="sl-SI"/>
        </w:rPr>
        <w:t>, datato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 31</w:t>
      </w:r>
      <w:r w:rsidRPr="0098099B">
        <w:rPr>
          <w:rFonts w:ascii="Times New Roman" w:eastAsia="Times New Roman" w:hAnsi="Times New Roman" w:cs="Times New Roman"/>
          <w:lang w:eastAsia="sl-SI"/>
        </w:rPr>
        <w:t xml:space="preserve"> maggio </w:t>
      </w:r>
      <w:r w:rsidR="001F5CFE" w:rsidRPr="0098099B">
        <w:rPr>
          <w:rFonts w:ascii="Times New Roman" w:eastAsia="Times New Roman" w:hAnsi="Times New Roman" w:cs="Times New Roman"/>
          <w:lang w:eastAsia="sl-SI"/>
        </w:rPr>
        <w:t xml:space="preserve">2016 </w:t>
      </w:r>
      <w:r w:rsidRPr="0098099B">
        <w:rPr>
          <w:rFonts w:ascii="Times New Roman" w:eastAsia="Times New Roman" w:hAnsi="Times New Roman" w:cs="Times New Roman"/>
          <w:lang w:eastAsia="sl-SI"/>
        </w:rPr>
        <w:t xml:space="preserve">con i tariffari proposti dei servizi cimiteriali e funerari e il canone di </w:t>
      </w:r>
      <w:r w:rsidR="00804E9D" w:rsidRPr="0098099B">
        <w:rPr>
          <w:rFonts w:ascii="Times New Roman" w:eastAsia="Times New Roman" w:hAnsi="Times New Roman" w:cs="Times New Roman"/>
          <w:lang w:eastAsia="sl-SI"/>
        </w:rPr>
        <w:t>concessione</w:t>
      </w:r>
      <w:r w:rsidRPr="0098099B">
        <w:rPr>
          <w:rFonts w:ascii="Times New Roman" w:eastAsia="Times New Roman" w:hAnsi="Times New Roman" w:cs="Times New Roman"/>
          <w:lang w:eastAsia="sl-SI"/>
        </w:rPr>
        <w:t xml:space="preserve"> delle </w:t>
      </w:r>
      <w:r w:rsidR="008E6581">
        <w:rPr>
          <w:rFonts w:ascii="Times New Roman" w:eastAsia="Times New Roman" w:hAnsi="Times New Roman" w:cs="Times New Roman"/>
          <w:lang w:eastAsia="sl-SI"/>
        </w:rPr>
        <w:t>sepolture</w:t>
      </w:r>
      <w:bookmarkStart w:id="0" w:name="_GoBack"/>
      <w:bookmarkEnd w:id="0"/>
      <w:r w:rsidRPr="0098099B">
        <w:rPr>
          <w:rFonts w:ascii="Times New Roman" w:eastAsia="Times New Roman" w:hAnsi="Times New Roman" w:cs="Times New Roman"/>
          <w:lang w:eastAsia="sl-SI"/>
        </w:rPr>
        <w:t>.</w:t>
      </w:r>
    </w:p>
    <w:p w:rsidR="004902B0" w:rsidRPr="0098099B" w:rsidRDefault="004902B0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F5CFE" w:rsidRPr="0098099B" w:rsidRDefault="004902B0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099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1F5CFE" w:rsidRPr="0098099B" w:rsidRDefault="001F5CFE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5CFE" w:rsidRPr="0098099B" w:rsidRDefault="004902B0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099B">
        <w:rPr>
          <w:rFonts w:ascii="Times New Roman" w:eastAsia="SimSun" w:hAnsi="Times New Roman" w:cs="Times New Roman"/>
          <w:b/>
          <w:bCs/>
          <w:lang w:eastAsia="zh-CN"/>
        </w:rPr>
        <w:t>TARIFFARIO DEI SERVIZI FUNERARI</w:t>
      </w:r>
      <w:proofErr w:type="gramStart"/>
      <w:r w:rsidR="001F5CFE" w:rsidRPr="0098099B">
        <w:rPr>
          <w:rFonts w:ascii="Times New Roman" w:eastAsia="SimSun" w:hAnsi="Times New Roman" w:cs="Times New Roman"/>
          <w:b/>
          <w:bCs/>
          <w:lang w:eastAsia="zh-CN"/>
        </w:rPr>
        <w:t xml:space="preserve">                                                                  </w:t>
      </w:r>
      <w:proofErr w:type="gramEnd"/>
    </w:p>
    <w:tbl>
      <w:tblPr>
        <w:tblW w:w="10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"/>
        <w:gridCol w:w="4980"/>
        <w:gridCol w:w="348"/>
        <w:gridCol w:w="77"/>
        <w:gridCol w:w="208"/>
        <w:gridCol w:w="111"/>
        <w:gridCol w:w="49"/>
        <w:gridCol w:w="169"/>
        <w:gridCol w:w="260"/>
        <w:gridCol w:w="323"/>
        <w:gridCol w:w="1153"/>
        <w:gridCol w:w="279"/>
        <w:gridCol w:w="166"/>
        <w:gridCol w:w="160"/>
        <w:gridCol w:w="244"/>
        <w:gridCol w:w="24"/>
        <w:gridCol w:w="14"/>
        <w:gridCol w:w="180"/>
        <w:gridCol w:w="39"/>
        <w:gridCol w:w="35"/>
        <w:gridCol w:w="304"/>
        <w:gridCol w:w="312"/>
        <w:gridCol w:w="268"/>
        <w:gridCol w:w="268"/>
      </w:tblGrid>
      <w:tr w:rsidR="001F5CFE" w:rsidRPr="0098099B" w:rsidTr="001F5CFE">
        <w:trPr>
          <w:gridAfter w:val="6"/>
          <w:wAfter w:w="1226" w:type="dxa"/>
          <w:trHeight w:val="181"/>
        </w:trPr>
        <w:tc>
          <w:tcPr>
            <w:tcW w:w="902" w:type="dxa"/>
            <w:gridSpan w:val="2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5613" w:type="dxa"/>
            <w:gridSpan w:val="4"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9" w:type="dxa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03" w:type="dxa"/>
            <w:gridSpan w:val="10"/>
            <w:noWrap/>
            <w:vAlign w:val="bottom"/>
            <w:hideMark/>
          </w:tcPr>
          <w:p w:rsidR="001F5CFE" w:rsidRPr="0098099B" w:rsidRDefault="004902B0" w:rsidP="004902B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98099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Prezzo in</w:t>
            </w:r>
            <w:r w:rsidR="001F5CFE" w:rsidRPr="0098099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EUR</w:t>
            </w:r>
            <w:r w:rsidRPr="0098099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O</w:t>
            </w:r>
            <w:r w:rsidR="001F5CFE" w:rsidRPr="0098099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  <w:r w:rsidRPr="0098099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senza IVA</w:t>
            </w:r>
          </w:p>
        </w:tc>
      </w:tr>
      <w:tr w:rsidR="001F5CFE" w:rsidRPr="0098099B" w:rsidTr="001F5CFE">
        <w:trPr>
          <w:gridAfter w:val="6"/>
          <w:wAfter w:w="1226" w:type="dxa"/>
          <w:trHeight w:val="300"/>
        </w:trPr>
        <w:tc>
          <w:tcPr>
            <w:tcW w:w="902" w:type="dxa"/>
            <w:gridSpan w:val="2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5613" w:type="dxa"/>
            <w:gridSpan w:val="4"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9" w:type="dxa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03" w:type="dxa"/>
            <w:gridSpan w:val="10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6"/>
          <w:wAfter w:w="1226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</w:t>
            </w:r>
          </w:p>
        </w:tc>
        <w:tc>
          <w:tcPr>
            <w:tcW w:w="5613" w:type="dxa"/>
            <w:gridSpan w:val="4"/>
            <w:vAlign w:val="bottom"/>
            <w:hideMark/>
          </w:tcPr>
          <w:p w:rsidR="001F5CFE" w:rsidRPr="0098099B" w:rsidRDefault="004902B0" w:rsidP="0049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Rito funebre</w:t>
            </w:r>
          </w:p>
        </w:tc>
        <w:tc>
          <w:tcPr>
            <w:tcW w:w="160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10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                         199,61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1F5CFE" w:rsidP="0049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Organiz</w:t>
            </w:r>
            <w:r w:rsidR="004902B0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</w:t>
            </w: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</w:t>
            </w:r>
            <w:r w:rsidR="004902B0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zione dell'addio al defunto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99,26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</w:t>
            </w: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ED7B41" w:rsidP="008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Scavo e </w:t>
            </w:r>
            <w:r w:rsidR="00804E9D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colmatura</w:t>
            </w: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della fossa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199,61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ED7B41" w:rsidP="00ED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proofErr w:type="gramStart"/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Ulteriore</w:t>
            </w:r>
            <w:proofErr w:type="gramEnd"/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scavo della fossa (una volta)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46,64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F31003" w:rsidP="00F3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Trasporto fiori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66,94</w:t>
            </w:r>
          </w:p>
        </w:tc>
      </w:tr>
      <w:tr w:rsidR="001F5CFE" w:rsidRPr="0098099B" w:rsidTr="001F5CFE">
        <w:trPr>
          <w:gridAfter w:val="9"/>
          <w:wAfter w:w="1444" w:type="dxa"/>
          <w:trHeight w:val="203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F31003" w:rsidP="008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Preparazione degli a</w:t>
            </w:r>
            <w:r w:rsidR="00804E9D"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rticoli</w:t>
            </w:r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, pulizia e sistemazione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25,81</w:t>
            </w:r>
          </w:p>
        </w:tc>
      </w:tr>
      <w:tr w:rsidR="001F5CFE" w:rsidRPr="0098099B" w:rsidTr="001F5CFE">
        <w:trPr>
          <w:gridAfter w:val="9"/>
          <w:wAfter w:w="1444" w:type="dxa"/>
          <w:trHeight w:val="18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F31003" w:rsidP="0080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Scavo e </w:t>
            </w:r>
            <w:r w:rsidR="00804E9D"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colmatura</w:t>
            </w:r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della fossa per bambini e </w:t>
            </w:r>
            <w:r w:rsidR="00804E9D"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loculi per </w:t>
            </w:r>
            <w:proofErr w:type="gramStart"/>
            <w:r w:rsidR="00804E9D"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urne cinerario</w:t>
            </w:r>
            <w:proofErr w:type="gramEnd"/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80,44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</w:t>
            </w: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7A38F9" w:rsidP="007A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Sistemazione del defunto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7A38F9" w:rsidP="00E86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Sistemazione del defunto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–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co</w:t>
            </w:r>
            <w:r w:rsidR="00E86D13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rpo intatto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100,07</w:t>
            </w:r>
          </w:p>
        </w:tc>
      </w:tr>
      <w:tr w:rsidR="001F5CFE" w:rsidRPr="0098099B" w:rsidTr="001F5CFE">
        <w:trPr>
          <w:gridAfter w:val="9"/>
          <w:wAfter w:w="1444" w:type="dxa"/>
          <w:trHeight w:val="235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87F39" w:rsidP="00E86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Sistemazione del defunto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–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c</w:t>
            </w:r>
            <w:r w:rsidR="00E86D13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orpo deturpato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146,18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87F39" w:rsidP="00E86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Ritiro del defunto a domicilio – </w:t>
            </w:r>
            <w:r w:rsidR="00E86D13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corpo intatto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66,94</w:t>
            </w:r>
          </w:p>
        </w:tc>
      </w:tr>
      <w:tr w:rsidR="001F5CFE" w:rsidRPr="0098099B" w:rsidTr="001F5CFE">
        <w:trPr>
          <w:gridAfter w:val="9"/>
          <w:wAfter w:w="1444" w:type="dxa"/>
          <w:trHeight w:val="345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87F39" w:rsidP="00E86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Ritiro del defunto a domicilio – </w:t>
            </w:r>
            <w:r w:rsidR="00E86D13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corpo deturpato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119,17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45868" w:rsidP="00C4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Gestione</w:t>
            </w:r>
            <w:r w:rsidR="00C87F39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della documentazione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33,14</w:t>
            </w:r>
          </w:p>
        </w:tc>
      </w:tr>
      <w:tr w:rsidR="001F5CFE" w:rsidRPr="0098099B" w:rsidTr="001F5CFE">
        <w:trPr>
          <w:gridAfter w:val="9"/>
          <w:wAfter w:w="1444" w:type="dxa"/>
          <w:trHeight w:val="217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87F39" w:rsidP="00C4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Ritiro del defunto su chiamata della polizia 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e degli altri organi statali – c</w:t>
            </w:r>
            <w:r w:rsidR="00C45868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orpo intatto</w:t>
            </w:r>
            <w:proofErr w:type="gramEnd"/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86,57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87F39" w:rsidP="00C4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gramStart"/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Ritiro del defunto su chiamata della polizia 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e degli altri organi statali – c</w:t>
            </w:r>
            <w:r w:rsidR="00C45868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orpo deturpato</w:t>
            </w:r>
            <w:proofErr w:type="gramEnd"/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132,66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</w:t>
            </w: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45868" w:rsidP="00C4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Carro</w:t>
            </w:r>
            <w:r w:rsidR="00C87F39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fune</w:t>
            </w: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bre</w:t>
            </w:r>
            <w:r w:rsidR="001F5CFE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r w:rsidR="00C87F39" w:rsidRPr="0098099B">
              <w:rPr>
                <w:rFonts w:ascii="Times New Roman" w:eastAsia="Times New Roman" w:hAnsi="Times New Roman" w:cs="Times New Roman"/>
                <w:b/>
                <w:bCs/>
                <w:i/>
                <w:lang w:eastAsia="sl-SI"/>
              </w:rPr>
              <w:t>/ del defunto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45868" w:rsidP="00C4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Singola </w:t>
            </w:r>
            <w:r w:rsidR="00C87F39" w:rsidRPr="0098099B">
              <w:rPr>
                <w:rFonts w:ascii="Times New Roman" w:eastAsia="Times New Roman" w:hAnsi="Times New Roman" w:cs="Times New Roman"/>
                <w:lang w:eastAsia="sl-SI"/>
              </w:rPr>
              <w:t>uscita dal garage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53,42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87F39" w:rsidP="00C8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Prezzo per chilometro percorso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1,02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87F39" w:rsidP="00C4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C</w:t>
            </w:r>
            <w:r w:rsidR="00C45868" w:rsidRPr="0098099B">
              <w:rPr>
                <w:rFonts w:ascii="Times New Roman" w:eastAsia="Times New Roman" w:hAnsi="Times New Roman" w:cs="Times New Roman"/>
                <w:lang w:eastAsia="sl-SI"/>
              </w:rPr>
              <w:t>onteggio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per ora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(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oltre 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>10 km)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23,96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C87F39" w:rsidP="00034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Supplemento </w:t>
            </w:r>
            <w:r w:rsidR="0003416B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scorta </w:t>
            </w:r>
            <w:r w:rsidR="0003416B" w:rsidRPr="0098099B">
              <w:rPr>
                <w:rFonts w:ascii="Times New Roman" w:eastAsia="Times New Roman" w:hAnsi="Times New Roman" w:cs="Times New Roman"/>
                <w:lang w:eastAsia="sl-SI"/>
              </w:rPr>
              <w:t>per ora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19,63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03416B" w:rsidP="00C45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Attesa </w:t>
            </w:r>
            <w:r w:rsidR="00C45868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per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ora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23,96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</w:t>
            </w: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1F5CFE" w:rsidP="0003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i/>
                <w:lang w:eastAsia="sl-SI"/>
              </w:rPr>
              <w:t>N</w:t>
            </w:r>
            <w:r w:rsidR="0003416B" w:rsidRPr="0098099B">
              <w:rPr>
                <w:rFonts w:ascii="Times New Roman" w:eastAsia="Times New Roman" w:hAnsi="Times New Roman" w:cs="Times New Roman"/>
                <w:b/>
                <w:bCs/>
                <w:i/>
                <w:lang w:eastAsia="sl-SI"/>
              </w:rPr>
              <w:t xml:space="preserve">olo impianto audio per la durata del rito </w:t>
            </w:r>
            <w:proofErr w:type="gramStart"/>
            <w:r w:rsidR="0003416B" w:rsidRPr="0098099B">
              <w:rPr>
                <w:rFonts w:ascii="Times New Roman" w:eastAsia="Times New Roman" w:hAnsi="Times New Roman" w:cs="Times New Roman"/>
                <w:b/>
                <w:bCs/>
                <w:i/>
                <w:lang w:eastAsia="sl-SI"/>
              </w:rPr>
              <w:t>funebre</w:t>
            </w:r>
            <w:proofErr w:type="gramEnd"/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tabs>
                <w:tab w:val="left" w:pos="4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33,14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</w:t>
            </w: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1F5CFE" w:rsidP="0003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U</w:t>
            </w:r>
            <w:r w:rsidR="0003416B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tilizzo cappella mortuaria</w:t>
            </w: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r w:rsidR="0003416B" w:rsidRPr="0098099B">
              <w:rPr>
                <w:rFonts w:ascii="Times New Roman" w:eastAsia="Times New Roman" w:hAnsi="Times New Roman" w:cs="Times New Roman"/>
                <w:lang w:eastAsia="sl-SI"/>
              </w:rPr>
              <w:t>–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="0003416B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cappella </w:t>
            </w:r>
            <w:proofErr w:type="gramStart"/>
            <w:r w:rsidR="0003416B" w:rsidRPr="0098099B">
              <w:rPr>
                <w:rFonts w:ascii="Times New Roman" w:eastAsia="Times New Roman" w:hAnsi="Times New Roman" w:cs="Times New Roman"/>
                <w:lang w:eastAsia="sl-SI"/>
              </w:rPr>
              <w:t>grande</w:t>
            </w:r>
            <w:proofErr w:type="gramEnd"/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66,94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1F5CFE" w:rsidP="00034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U</w:t>
            </w:r>
            <w:r w:rsidR="0003416B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tilizzo cappella mortuaria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="0003416B" w:rsidRPr="0098099B">
              <w:rPr>
                <w:rFonts w:ascii="Times New Roman" w:eastAsia="Times New Roman" w:hAnsi="Times New Roman" w:cs="Times New Roman"/>
                <w:lang w:eastAsia="sl-SI"/>
              </w:rPr>
              <w:t>–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="0003416B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cappella </w:t>
            </w:r>
            <w:proofErr w:type="gramStart"/>
            <w:r w:rsidR="0003416B" w:rsidRPr="0098099B">
              <w:rPr>
                <w:rFonts w:ascii="Times New Roman" w:eastAsia="Times New Roman" w:hAnsi="Times New Roman" w:cs="Times New Roman"/>
                <w:lang w:eastAsia="sl-SI"/>
              </w:rPr>
              <w:t>piccola</w:t>
            </w:r>
            <w:proofErr w:type="gramEnd"/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59,54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br w:type="page"/>
            </w: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</w:t>
            </w: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03416B" w:rsidP="0003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Camera fredda</w:t>
            </w:r>
            <w:r w:rsidR="001F5CFE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–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fino a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gramStart"/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>24</w:t>
            </w:r>
            <w:proofErr w:type="gramEnd"/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ore</w:t>
            </w:r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16,57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902" w:type="dxa"/>
            <w:gridSpan w:val="2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gridSpan w:val="2"/>
            <w:vAlign w:val="bottom"/>
            <w:hideMark/>
          </w:tcPr>
          <w:p w:rsidR="001F5CFE" w:rsidRPr="0098099B" w:rsidRDefault="0003416B" w:rsidP="00034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Camera fredda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–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per ogni giorno </w:t>
            </w:r>
            <w:proofErr w:type="gramStart"/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successivo</w:t>
            </w:r>
            <w:proofErr w:type="gramEnd"/>
          </w:p>
        </w:tc>
        <w:tc>
          <w:tcPr>
            <w:tcW w:w="396" w:type="dxa"/>
            <w:gridSpan w:val="3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3" w:type="dxa"/>
            <w:gridSpan w:val="9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16,57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</w:t>
            </w: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03416B" w:rsidP="0003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Sala di autopsia</w:t>
            </w:r>
            <w:r w:rsidR="001F5CFE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b/>
                <w:bCs/>
                <w:i/>
                <w:lang w:eastAsia="sl-SI"/>
              </w:rPr>
              <w:t>/ del defunto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66,94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9.</w:t>
            </w: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03416B" w:rsidP="0003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Utilizzo feretro di trasporto</w:t>
            </w:r>
            <w:r w:rsidR="001F5CFE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–</w:t>
            </w:r>
            <w:r w:rsidR="001F5CFE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sacca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9,19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10.</w:t>
            </w: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011061" w:rsidP="0003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Manutenzione annuale della sepoltura</w:t>
            </w:r>
            <w:r w:rsidR="001F5CFE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185B91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In base alla richiesta dell'utente e al particolare tariffario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011061" w:rsidP="0001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Sepoltura</w:t>
            </w:r>
            <w:r w:rsidR="00185B91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individuale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100,07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011061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Sepoltura</w:t>
            </w:r>
            <w:r w:rsidR="00185B91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doppia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132,66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11.</w:t>
            </w: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1F5CFE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E</w:t>
            </w:r>
            <w:r w:rsidR="00185B91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sumazione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185B91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Scavo </w:t>
            </w:r>
            <w:r w:rsidR="00011061" w:rsidRPr="0098099B">
              <w:rPr>
                <w:rFonts w:ascii="Times New Roman" w:eastAsia="Times New Roman" w:hAnsi="Times New Roman" w:cs="Times New Roman"/>
                <w:lang w:eastAsia="sl-SI"/>
              </w:rPr>
              <w:t>della sepoltura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331,60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185B91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Recupero delle spoglie mortali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199,61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12.</w:t>
            </w: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185B91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i/>
                <w:lang w:eastAsia="sl-SI"/>
              </w:rPr>
              <w:t>Tariffa oraria del personale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185B91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Becchino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16,57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1" w:type="dxa"/>
            <w:gridSpan w:val="2"/>
            <w:vAlign w:val="bottom"/>
            <w:hideMark/>
          </w:tcPr>
          <w:p w:rsidR="001F5CFE" w:rsidRPr="0098099B" w:rsidRDefault="00185B91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Conducente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-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accompagnatore</w:t>
            </w:r>
          </w:p>
        </w:tc>
        <w:tc>
          <w:tcPr>
            <w:tcW w:w="425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dxa"/>
            <w:gridSpan w:val="4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21,49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13.</w:t>
            </w:r>
          </w:p>
        </w:tc>
        <w:tc>
          <w:tcPr>
            <w:tcW w:w="5031" w:type="dxa"/>
            <w:gridSpan w:val="2"/>
            <w:shd w:val="clear" w:color="auto" w:fill="FFFFFF"/>
            <w:vAlign w:val="bottom"/>
            <w:hideMark/>
          </w:tcPr>
          <w:p w:rsidR="001F5CFE" w:rsidRPr="0098099B" w:rsidRDefault="00185B91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Spargimento ceneri </w:t>
            </w:r>
            <w:r w:rsidRPr="0098099B">
              <w:rPr>
                <w:rFonts w:ascii="Times New Roman" w:eastAsia="Times New Roman" w:hAnsi="Times New Roman" w:cs="Times New Roman"/>
                <w:b/>
                <w:bCs/>
                <w:i/>
                <w:lang w:eastAsia="sl-SI"/>
              </w:rPr>
              <w:t>fuori dal cimitero</w:t>
            </w:r>
            <w:r w:rsidR="001F5CFE"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208" w:type="dxa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589" w:type="dxa"/>
            <w:gridSpan w:val="4"/>
            <w:shd w:val="clear" w:color="auto" w:fill="FFFFFF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2325" w:type="dxa"/>
            <w:gridSpan w:val="6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</w:tr>
      <w:tr w:rsidR="001F5CFE" w:rsidRPr="0098099B" w:rsidTr="001F5CFE">
        <w:trPr>
          <w:gridAfter w:val="9"/>
          <w:wAfter w:w="1444" w:type="dxa"/>
          <w:trHeight w:val="300"/>
        </w:trPr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5031" w:type="dxa"/>
            <w:gridSpan w:val="2"/>
            <w:shd w:val="clear" w:color="auto" w:fill="FFFFFF"/>
            <w:vAlign w:val="bottom"/>
            <w:hideMark/>
          </w:tcPr>
          <w:p w:rsidR="001F5CFE" w:rsidRPr="0098099B" w:rsidRDefault="00185B91" w:rsidP="00185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Rito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*</w:t>
            </w: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208" w:type="dxa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589" w:type="dxa"/>
            <w:gridSpan w:val="4"/>
            <w:shd w:val="clear" w:color="auto" w:fill="FFFFFF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382,20</w:t>
            </w:r>
          </w:p>
        </w:tc>
      </w:tr>
      <w:tr w:rsidR="001F5CFE" w:rsidRPr="0098099B" w:rsidTr="001F5CFE">
        <w:trPr>
          <w:gridAfter w:val="9"/>
          <w:wAfter w:w="1444" w:type="dxa"/>
          <w:trHeight w:val="585"/>
        </w:trPr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5031" w:type="dxa"/>
            <w:gridSpan w:val="2"/>
            <w:shd w:val="clear" w:color="auto" w:fill="FFFFFF"/>
            <w:vAlign w:val="bottom"/>
            <w:hideMark/>
          </w:tcPr>
          <w:p w:rsidR="001F5CFE" w:rsidRPr="0098099B" w:rsidRDefault="00185B91" w:rsidP="00DE0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Fabbricazione e montaggio </w:t>
            </w:r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della lapide e manutenzione del sito</w:t>
            </w: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208" w:type="dxa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589" w:type="dxa"/>
            <w:gridSpan w:val="4"/>
            <w:shd w:val="clear" w:color="auto" w:fill="FFFFFF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325" w:type="dxa"/>
            <w:gridSpan w:val="6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ind w:left="-48" w:firstLine="48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106,81</w:t>
            </w:r>
          </w:p>
        </w:tc>
      </w:tr>
      <w:tr w:rsidR="001F5CFE" w:rsidRPr="0098099B" w:rsidTr="001F5CFE">
        <w:trPr>
          <w:trHeight w:val="300"/>
        </w:trPr>
        <w:tc>
          <w:tcPr>
            <w:tcW w:w="6307" w:type="dxa"/>
            <w:gridSpan w:val="5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gridSpan w:val="6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153" w:type="dxa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106" w:type="dxa"/>
            <w:gridSpan w:val="8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339" w:type="dxa"/>
            <w:gridSpan w:val="2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312" w:type="dxa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68" w:type="dxa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7"/>
          <w:wAfter w:w="1406" w:type="dxa"/>
          <w:trHeight w:val="555"/>
        </w:trPr>
        <w:tc>
          <w:tcPr>
            <w:tcW w:w="9467" w:type="dxa"/>
            <w:gridSpan w:val="18"/>
            <w:vAlign w:val="bottom"/>
            <w:hideMark/>
          </w:tcPr>
          <w:p w:rsidR="001F5CFE" w:rsidRPr="0098099B" w:rsidRDefault="001F5CFE" w:rsidP="0001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* </w:t>
            </w:r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Il servizio di spargimento delle ceneri fuori dal cimitero comprende:</w:t>
            </w:r>
            <w:r w:rsidR="002B09F3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</w:t>
            </w:r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l'affitto dell'urna di spargimento, </w:t>
            </w:r>
            <w:r w:rsidR="00011061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il </w:t>
            </w:r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trasporto dell'</w:t>
            </w:r>
            <w:proofErr w:type="gramStart"/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urna</w:t>
            </w:r>
            <w:proofErr w:type="gramEnd"/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fino alla località del rito,</w:t>
            </w:r>
            <w:r w:rsidR="00011061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il </w:t>
            </w:r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personale funerario ed esecuzione del protocollo, </w:t>
            </w:r>
            <w:r w:rsidR="00011061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la gestione</w:t>
            </w:r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della documentazione.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</w:t>
            </w:r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Se si tratta di funerale in mare, il prezzo di </w:t>
            </w:r>
            <w:r w:rsidR="00011061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nolo</w:t>
            </w:r>
            <w:r w:rsidR="00DE0CF5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dell'imbarcazione non è compreso nel prezzo di spargimento delle ceneri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.</w:t>
            </w:r>
          </w:p>
        </w:tc>
      </w:tr>
      <w:tr w:rsidR="001F5CFE" w:rsidRPr="0098099B" w:rsidTr="001F5CFE">
        <w:trPr>
          <w:gridAfter w:val="4"/>
          <w:wAfter w:w="1152" w:type="dxa"/>
          <w:trHeight w:val="435"/>
        </w:trPr>
        <w:tc>
          <w:tcPr>
            <w:tcW w:w="9453" w:type="dxa"/>
            <w:gridSpan w:val="17"/>
            <w:vAlign w:val="bottom"/>
            <w:hideMark/>
          </w:tcPr>
          <w:p w:rsidR="001F5CFE" w:rsidRPr="0098099B" w:rsidRDefault="00DE0CF5" w:rsidP="00DE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Si applica un aumento del 50% sulla tariffa del personale per gli interventi al di fuori </w:t>
            </w:r>
            <w:proofErr w:type="gramStart"/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dell’</w:t>
            </w:r>
            <w:proofErr w:type="gramEnd"/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orario lavorativo, di domenica e nei giorni festivi</w:t>
            </w:r>
            <w:r w:rsidR="001F5CFE"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.</w:t>
            </w:r>
          </w:p>
        </w:tc>
        <w:tc>
          <w:tcPr>
            <w:tcW w:w="268" w:type="dxa"/>
            <w:gridSpan w:val="4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4"/>
          <w:wAfter w:w="1152" w:type="dxa"/>
          <w:trHeight w:val="925"/>
        </w:trPr>
        <w:tc>
          <w:tcPr>
            <w:tcW w:w="9453" w:type="dxa"/>
            <w:gridSpan w:val="17"/>
            <w:vAlign w:val="bottom"/>
            <w:hideMark/>
          </w:tcPr>
          <w:p w:rsidR="001F5CFE" w:rsidRPr="0098099B" w:rsidRDefault="00DE0CF5" w:rsidP="00DE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Il prezzo del 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rito funebre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è conteggiato in base al tempo previsto di </w:t>
            </w:r>
            <w:proofErr w:type="gramStart"/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  <w:proofErr w:type="gramEnd"/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ore. In caso di 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servizi aggiuntivi,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questi </w:t>
            </w:r>
            <w:proofErr w:type="gramStart"/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vengono</w:t>
            </w:r>
            <w:proofErr w:type="gramEnd"/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conteggiati in base all’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effettivo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tempo e al 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tipo di servizio.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I servizi non compresi nel tariffario </w:t>
            </w:r>
            <w:proofErr w:type="gramStart"/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vengono</w:t>
            </w:r>
            <w:proofErr w:type="gramEnd"/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conteggiati in base all'effettivo tempo di svolgimento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</w:tc>
        <w:tc>
          <w:tcPr>
            <w:tcW w:w="268" w:type="dxa"/>
            <w:gridSpan w:val="4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5CFE" w:rsidRPr="0098099B" w:rsidTr="001F5CFE">
        <w:trPr>
          <w:gridAfter w:val="4"/>
          <w:wAfter w:w="1152" w:type="dxa"/>
          <w:trHeight w:val="300"/>
        </w:trPr>
        <w:tc>
          <w:tcPr>
            <w:tcW w:w="8580" w:type="dxa"/>
            <w:gridSpan w:val="12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1F5CFE" w:rsidRPr="0098099B" w:rsidRDefault="00DE0CF5" w:rsidP="00DE0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Il rito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funebre (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di cui al punto </w:t>
            </w:r>
            <w:proofErr w:type="gramStart"/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>1</w:t>
            </w:r>
            <w:proofErr w:type="gramEnd"/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del presente tariffario) viene conteggiato al 70%</w:t>
            </w:r>
            <w:r w:rsidRPr="0098099B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se si tratta di defunti fino all'età di 7 anni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</w:tc>
        <w:tc>
          <w:tcPr>
            <w:tcW w:w="279" w:type="dxa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" w:type="dxa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" w:type="dxa"/>
            <w:gridSpan w:val="2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" w:type="dxa"/>
            <w:gridSpan w:val="4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F5CFE" w:rsidRPr="0098099B" w:rsidRDefault="001F5CFE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5CFE" w:rsidRPr="0098099B" w:rsidRDefault="00DE0CF5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lang w:eastAsia="sl-SI"/>
        </w:rPr>
        <w:t>3</w:t>
      </w:r>
    </w:p>
    <w:p w:rsidR="001F5CFE" w:rsidRPr="0098099B" w:rsidRDefault="001F5CFE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1F5CFE" w:rsidRPr="0098099B" w:rsidRDefault="00DE0CF5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98099B">
        <w:rPr>
          <w:rFonts w:ascii="Times New Roman" w:eastAsia="Times New Roman" w:hAnsi="Times New Roman" w:cs="Times New Roman"/>
          <w:b/>
          <w:bCs/>
          <w:lang w:eastAsia="sl-SI"/>
        </w:rPr>
        <w:t xml:space="preserve">TARIFFARIO DEI CANONI DI </w:t>
      </w:r>
      <w:r w:rsidR="0098099B" w:rsidRPr="0098099B">
        <w:rPr>
          <w:rFonts w:ascii="Times New Roman" w:eastAsia="Times New Roman" w:hAnsi="Times New Roman" w:cs="Times New Roman"/>
          <w:b/>
          <w:bCs/>
          <w:lang w:eastAsia="sl-SI"/>
        </w:rPr>
        <w:t xml:space="preserve">CONCESSIONE </w:t>
      </w:r>
      <w:r w:rsidRPr="0098099B">
        <w:rPr>
          <w:rFonts w:ascii="Times New Roman" w:eastAsia="Times New Roman" w:hAnsi="Times New Roman" w:cs="Times New Roman"/>
          <w:b/>
          <w:bCs/>
          <w:lang w:eastAsia="sl-SI"/>
        </w:rPr>
        <w:t xml:space="preserve">DELLE </w:t>
      </w:r>
      <w:r w:rsidR="0098099B" w:rsidRPr="0098099B">
        <w:rPr>
          <w:rFonts w:ascii="Times New Roman" w:eastAsia="Times New Roman" w:hAnsi="Times New Roman" w:cs="Times New Roman"/>
          <w:b/>
          <w:bCs/>
          <w:lang w:eastAsia="sl-SI"/>
        </w:rPr>
        <w:t>SEPOLTURE</w:t>
      </w:r>
      <w:r w:rsidR="001F5CFE" w:rsidRPr="0098099B">
        <w:rPr>
          <w:rFonts w:ascii="Times New Roman" w:eastAsia="Times New Roman" w:hAnsi="Times New Roman" w:cs="Times New Roman"/>
          <w:b/>
          <w:bCs/>
          <w:lang w:eastAsia="sl-SI"/>
        </w:rPr>
        <w:t xml:space="preserve"> – </w:t>
      </w:r>
      <w:proofErr w:type="gramStart"/>
      <w:r w:rsidRPr="0098099B">
        <w:rPr>
          <w:rFonts w:ascii="Times New Roman" w:eastAsia="Times New Roman" w:hAnsi="Times New Roman" w:cs="Times New Roman"/>
          <w:b/>
          <w:bCs/>
          <w:lang w:eastAsia="sl-SI"/>
        </w:rPr>
        <w:t>all'</w:t>
      </w:r>
      <w:proofErr w:type="gramEnd"/>
      <w:r w:rsidRPr="0098099B">
        <w:rPr>
          <w:rFonts w:ascii="Times New Roman" w:eastAsia="Times New Roman" w:hAnsi="Times New Roman" w:cs="Times New Roman"/>
          <w:b/>
          <w:bCs/>
          <w:lang w:eastAsia="sl-SI"/>
        </w:rPr>
        <w:t>anno</w:t>
      </w:r>
    </w:p>
    <w:p w:rsidR="001F5CFE" w:rsidRPr="0098099B" w:rsidRDefault="001F5CFE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tbl>
      <w:tblPr>
        <w:tblW w:w="45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447"/>
        <w:gridCol w:w="155"/>
        <w:gridCol w:w="278"/>
        <w:gridCol w:w="195"/>
        <w:gridCol w:w="155"/>
        <w:gridCol w:w="985"/>
        <w:gridCol w:w="1523"/>
      </w:tblGrid>
      <w:tr w:rsidR="001F5CFE" w:rsidRPr="0098099B" w:rsidTr="001F5CFE">
        <w:trPr>
          <w:trHeight w:val="419"/>
        </w:trPr>
        <w:tc>
          <w:tcPr>
            <w:tcW w:w="356" w:type="pct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69" w:type="pct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" w:type="pct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" w:type="pct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14" w:type="pct"/>
            <w:vAlign w:val="bottom"/>
            <w:hideMark/>
          </w:tcPr>
          <w:p w:rsidR="001F5CFE" w:rsidRPr="0098099B" w:rsidRDefault="00DE0CF5" w:rsidP="00DE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Prezzo in </w:t>
            </w:r>
            <w:r w:rsidR="001F5CFE"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EUR</w:t>
            </w:r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O senza</w:t>
            </w:r>
            <w:r w:rsidR="001F5CFE"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b/>
                <w:lang w:eastAsia="sl-SI"/>
              </w:rPr>
              <w:t>IVA</w:t>
            </w:r>
          </w:p>
        </w:tc>
      </w:tr>
      <w:tr w:rsidR="001F5CFE" w:rsidRPr="0098099B" w:rsidTr="001F5CFE">
        <w:trPr>
          <w:trHeight w:val="300"/>
        </w:trPr>
        <w:tc>
          <w:tcPr>
            <w:tcW w:w="356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669" w:type="pct"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l-SI"/>
              </w:rPr>
            </w:pPr>
          </w:p>
        </w:tc>
        <w:tc>
          <w:tcPr>
            <w:tcW w:w="377" w:type="pct"/>
            <w:gridSpan w:val="3"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3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91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14" w:type="pct"/>
            <w:vAlign w:val="center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1F5CFE" w:rsidRPr="0098099B" w:rsidTr="001F5CFE">
        <w:trPr>
          <w:trHeight w:val="300"/>
        </w:trPr>
        <w:tc>
          <w:tcPr>
            <w:tcW w:w="356" w:type="pct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1.</w:t>
            </w:r>
          </w:p>
        </w:tc>
        <w:tc>
          <w:tcPr>
            <w:tcW w:w="2669" w:type="pct"/>
            <w:vAlign w:val="bottom"/>
            <w:hideMark/>
          </w:tcPr>
          <w:p w:rsidR="001F5CFE" w:rsidRPr="0098099B" w:rsidRDefault="0098099B" w:rsidP="0098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Sepoltura</w:t>
            </w:r>
            <w:r w:rsidR="00DE0CF5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individuale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377" w:type="pct"/>
            <w:gridSpan w:val="3"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3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91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14" w:type="pct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27,02</w:t>
            </w:r>
          </w:p>
        </w:tc>
      </w:tr>
      <w:tr w:rsidR="001F5CFE" w:rsidRPr="0098099B" w:rsidTr="001F5CFE">
        <w:trPr>
          <w:trHeight w:val="300"/>
        </w:trPr>
        <w:tc>
          <w:tcPr>
            <w:tcW w:w="356" w:type="pct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2.</w:t>
            </w:r>
          </w:p>
        </w:tc>
        <w:tc>
          <w:tcPr>
            <w:tcW w:w="2669" w:type="pct"/>
            <w:vAlign w:val="bottom"/>
            <w:hideMark/>
          </w:tcPr>
          <w:p w:rsidR="001F5CFE" w:rsidRPr="0098099B" w:rsidRDefault="0098099B" w:rsidP="0098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Sepoltura </w:t>
            </w:r>
            <w:r w:rsidR="00DE0CF5" w:rsidRPr="0098099B">
              <w:rPr>
                <w:rFonts w:ascii="Times New Roman" w:eastAsia="Times New Roman" w:hAnsi="Times New Roman" w:cs="Times New Roman"/>
                <w:lang w:eastAsia="sl-SI"/>
              </w:rPr>
              <w:t>doppia</w:t>
            </w:r>
          </w:p>
        </w:tc>
        <w:tc>
          <w:tcPr>
            <w:tcW w:w="377" w:type="pct"/>
            <w:gridSpan w:val="3"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3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91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14" w:type="pct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53,42</w:t>
            </w:r>
          </w:p>
        </w:tc>
      </w:tr>
      <w:tr w:rsidR="001F5CFE" w:rsidRPr="0098099B" w:rsidTr="001F5CFE">
        <w:trPr>
          <w:trHeight w:val="300"/>
        </w:trPr>
        <w:tc>
          <w:tcPr>
            <w:tcW w:w="356" w:type="pct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3.</w:t>
            </w:r>
          </w:p>
        </w:tc>
        <w:tc>
          <w:tcPr>
            <w:tcW w:w="2669" w:type="pct"/>
            <w:vAlign w:val="bottom"/>
            <w:hideMark/>
          </w:tcPr>
          <w:p w:rsidR="001F5CFE" w:rsidRPr="0098099B" w:rsidRDefault="0098099B" w:rsidP="0098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Sepoltura</w:t>
            </w:r>
            <w:r w:rsidR="00DE0CF5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infantile</w:t>
            </w:r>
            <w:r w:rsidR="001F5CFE" w:rsidRPr="0098099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93" w:type="pct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14" w:type="pct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19,63</w:t>
            </w:r>
          </w:p>
        </w:tc>
      </w:tr>
      <w:tr w:rsidR="001F5CFE" w:rsidRPr="0098099B" w:rsidTr="001F5CFE">
        <w:trPr>
          <w:trHeight w:val="300"/>
        </w:trPr>
        <w:tc>
          <w:tcPr>
            <w:tcW w:w="356" w:type="pct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4.</w:t>
            </w:r>
          </w:p>
        </w:tc>
        <w:tc>
          <w:tcPr>
            <w:tcW w:w="2669" w:type="pct"/>
            <w:vAlign w:val="bottom"/>
            <w:hideMark/>
          </w:tcPr>
          <w:p w:rsidR="001F5CFE" w:rsidRPr="0098099B" w:rsidRDefault="00DE0CF5" w:rsidP="00DE0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Sepolcro</w:t>
            </w:r>
          </w:p>
        </w:tc>
        <w:tc>
          <w:tcPr>
            <w:tcW w:w="377" w:type="pct"/>
            <w:gridSpan w:val="3"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3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91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14" w:type="pct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132,66</w:t>
            </w:r>
          </w:p>
        </w:tc>
      </w:tr>
      <w:tr w:rsidR="001F5CFE" w:rsidRPr="0098099B" w:rsidTr="001F5CFE">
        <w:trPr>
          <w:trHeight w:val="300"/>
        </w:trPr>
        <w:tc>
          <w:tcPr>
            <w:tcW w:w="356" w:type="pct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5.</w:t>
            </w:r>
          </w:p>
        </w:tc>
        <w:tc>
          <w:tcPr>
            <w:tcW w:w="2669" w:type="pct"/>
            <w:vAlign w:val="bottom"/>
            <w:hideMark/>
          </w:tcPr>
          <w:p w:rsidR="001F5CFE" w:rsidRPr="0098099B" w:rsidRDefault="0098099B" w:rsidP="0098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Loculo per urne cinerarie</w:t>
            </w:r>
          </w:p>
        </w:tc>
        <w:tc>
          <w:tcPr>
            <w:tcW w:w="377" w:type="pct"/>
            <w:gridSpan w:val="3"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3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91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14" w:type="pct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10,44</w:t>
            </w:r>
          </w:p>
        </w:tc>
      </w:tr>
      <w:tr w:rsidR="001F5CFE" w:rsidRPr="0098099B" w:rsidTr="001F5CFE">
        <w:trPr>
          <w:trHeight w:val="300"/>
        </w:trPr>
        <w:tc>
          <w:tcPr>
            <w:tcW w:w="356" w:type="pct"/>
            <w:noWrap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6.</w:t>
            </w:r>
          </w:p>
        </w:tc>
        <w:tc>
          <w:tcPr>
            <w:tcW w:w="2669" w:type="pct"/>
            <w:vAlign w:val="bottom"/>
            <w:hideMark/>
          </w:tcPr>
          <w:p w:rsidR="001F5CFE" w:rsidRPr="0098099B" w:rsidRDefault="00DE0CF5" w:rsidP="00DE0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lang w:eastAsia="sl-SI"/>
              </w:rPr>
              <w:t>Cappella per urna</w:t>
            </w:r>
          </w:p>
        </w:tc>
        <w:tc>
          <w:tcPr>
            <w:tcW w:w="377" w:type="pct"/>
            <w:gridSpan w:val="3"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3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91" w:type="pct"/>
            <w:noWrap/>
            <w:vAlign w:val="bottom"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14" w:type="pct"/>
            <w:vAlign w:val="bottom"/>
            <w:hideMark/>
          </w:tcPr>
          <w:p w:rsidR="001F5CFE" w:rsidRPr="0098099B" w:rsidRDefault="001F5CFE" w:rsidP="001F5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8099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6,78</w:t>
            </w:r>
          </w:p>
        </w:tc>
      </w:tr>
    </w:tbl>
    <w:p w:rsidR="001F5CFE" w:rsidRPr="0098099B" w:rsidRDefault="001F5CFE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5CFE" w:rsidRPr="0098099B" w:rsidRDefault="001F5CFE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1F5CFE" w:rsidRPr="0098099B" w:rsidRDefault="001F5CFE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1F5CFE" w:rsidRPr="0098099B" w:rsidRDefault="001F5CFE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1F5CFE" w:rsidRPr="0098099B" w:rsidRDefault="00DE0CF5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lang w:eastAsia="sl-SI"/>
        </w:rPr>
        <w:t>4</w:t>
      </w:r>
    </w:p>
    <w:p w:rsidR="001F5CFE" w:rsidRPr="0098099B" w:rsidRDefault="001F5CFE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1F5CFE" w:rsidRPr="0098099B" w:rsidRDefault="00814BB6" w:rsidP="001F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98099B">
        <w:rPr>
          <w:rFonts w:ascii="Times New Roman" w:eastAsia="Times New Roman" w:hAnsi="Times New Roman" w:cs="Times New Roman"/>
          <w:color w:val="000000"/>
          <w:lang w:eastAsia="sl-SI"/>
        </w:rPr>
        <w:t xml:space="preserve">L'esercente del servizio pubblico di rilevanza economica obbligatorio cimiteriale e funerario, l'AP </w:t>
      </w:r>
      <w:proofErr w:type="spellStart"/>
      <w:r w:rsidRPr="0098099B">
        <w:rPr>
          <w:rFonts w:ascii="Times New Roman" w:eastAsia="Times New Roman" w:hAnsi="Times New Roman" w:cs="Times New Roman"/>
          <w:color w:val="000000"/>
          <w:lang w:eastAsia="sl-SI"/>
        </w:rPr>
        <w:t>Komunala</w:t>
      </w:r>
      <w:proofErr w:type="spellEnd"/>
      <w:r w:rsidRPr="0098099B">
        <w:rPr>
          <w:rFonts w:ascii="Times New Roman" w:eastAsia="Times New Roman" w:hAnsi="Times New Roman" w:cs="Times New Roman"/>
          <w:color w:val="000000"/>
          <w:lang w:eastAsia="sl-SI"/>
        </w:rPr>
        <w:t xml:space="preserve"> Isola S.r.l., è tenuto a pubblicare il tariffario sulla pagina web dell'azienda, nei vani del servizio cimiteriale e funerario e presso la sede dell'azienda.</w:t>
      </w:r>
    </w:p>
    <w:p w:rsidR="001F5CFE" w:rsidRPr="0098099B" w:rsidRDefault="001F5CFE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1F5CFE" w:rsidRPr="0098099B" w:rsidRDefault="00DE0CF5" w:rsidP="001F5C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lang w:eastAsia="sl-SI"/>
        </w:rPr>
        <w:t>5</w:t>
      </w:r>
    </w:p>
    <w:p w:rsidR="001F5CFE" w:rsidRPr="0098099B" w:rsidRDefault="001F5CFE" w:rsidP="001F5C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1F5CFE" w:rsidRPr="0098099B" w:rsidRDefault="00814BB6" w:rsidP="001F5CF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color w:val="000000"/>
          <w:lang w:eastAsia="sl-SI"/>
        </w:rPr>
        <w:t>Il presente atto di Delibera entra in vigore il quindicesimo giorno successivo alla sua pubblicazione nel Bollettino Ufficiale del Comune di Isola</w:t>
      </w:r>
      <w:r w:rsidR="001F5CFE" w:rsidRPr="0098099B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p w:rsidR="001F5CFE" w:rsidRPr="0098099B" w:rsidRDefault="001F5CFE" w:rsidP="001F5CF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F5CFE" w:rsidRPr="0098099B" w:rsidRDefault="001F5CFE" w:rsidP="001F5CF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F5CFE" w:rsidRPr="0098099B" w:rsidRDefault="00814BB6" w:rsidP="0081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98099B">
        <w:rPr>
          <w:rFonts w:ascii="Times New Roman" w:eastAsia="Times New Roman" w:hAnsi="Times New Roman" w:cs="Times New Roman"/>
          <w:b/>
          <w:lang w:eastAsia="sl-SI"/>
        </w:rPr>
        <w:t xml:space="preserve">                                                                                                     Il Sindaco</w:t>
      </w:r>
    </w:p>
    <w:p w:rsidR="001F5CFE" w:rsidRPr="0098099B" w:rsidRDefault="001F5CFE" w:rsidP="001F5CF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1F5CFE" w:rsidRPr="0098099B" w:rsidRDefault="001F5CFE" w:rsidP="001F5CF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lang w:eastAsia="sl-SI"/>
        </w:rPr>
        <w:t xml:space="preserve">               </w:t>
      </w:r>
      <w:proofErr w:type="spellStart"/>
      <w:proofErr w:type="gramStart"/>
      <w:r w:rsidRPr="0098099B">
        <w:rPr>
          <w:rFonts w:ascii="Times New Roman" w:eastAsia="Times New Roman" w:hAnsi="Times New Roman" w:cs="Times New Roman"/>
          <w:lang w:eastAsia="sl-SI"/>
        </w:rPr>
        <w:t>mag</w:t>
      </w:r>
      <w:proofErr w:type="spellEnd"/>
      <w:proofErr w:type="gramEnd"/>
      <w:r w:rsidRPr="0098099B">
        <w:rPr>
          <w:rFonts w:ascii="Times New Roman" w:eastAsia="Times New Roman" w:hAnsi="Times New Roman" w:cs="Times New Roman"/>
          <w:lang w:eastAsia="sl-SI"/>
        </w:rPr>
        <w:t xml:space="preserve">. Igor Kolenc </w:t>
      </w:r>
    </w:p>
    <w:p w:rsidR="001F5CFE" w:rsidRPr="0098099B" w:rsidRDefault="001F5CFE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1F5CFE" w:rsidRPr="0098099B" w:rsidRDefault="00814BB6" w:rsidP="001F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98099B">
        <w:rPr>
          <w:rFonts w:ascii="Times New Roman" w:eastAsia="Times New Roman" w:hAnsi="Times New Roman" w:cs="Times New Roman"/>
          <w:b/>
          <w:lang w:eastAsia="sl-SI"/>
        </w:rPr>
        <w:t>Recapitare a</w:t>
      </w:r>
      <w:r w:rsidR="001F5CFE" w:rsidRPr="0098099B">
        <w:rPr>
          <w:rFonts w:ascii="Times New Roman" w:eastAsia="Times New Roman" w:hAnsi="Times New Roman" w:cs="Times New Roman"/>
          <w:b/>
          <w:lang w:eastAsia="sl-SI"/>
        </w:rPr>
        <w:t>:</w:t>
      </w:r>
    </w:p>
    <w:p w:rsidR="001F5CFE" w:rsidRPr="0098099B" w:rsidRDefault="001F5CFE" w:rsidP="001F5CF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sl-SI"/>
        </w:rPr>
      </w:pPr>
      <w:r w:rsidRPr="0098099B">
        <w:rPr>
          <w:rFonts w:ascii="Times New Roman" w:eastAsia="Times New Roman" w:hAnsi="Times New Roman" w:cs="Times New Roman"/>
          <w:b/>
          <w:lang w:eastAsia="sl-SI"/>
        </w:rPr>
        <w:t xml:space="preserve">                                                                                                   </w:t>
      </w:r>
      <w:r w:rsidRPr="0098099B">
        <w:rPr>
          <w:rFonts w:ascii="Times New Roman" w:eastAsia="Times New Roman" w:hAnsi="Times New Roman" w:cs="Times New Roman"/>
          <w:b/>
          <w:lang w:eastAsia="sl-SI"/>
        </w:rPr>
        <w:tab/>
      </w:r>
    </w:p>
    <w:p w:rsidR="001F5CFE" w:rsidRPr="0098099B" w:rsidRDefault="001F5CFE" w:rsidP="001F5C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lang w:eastAsia="sl-SI"/>
        </w:rPr>
        <w:t xml:space="preserve">JP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Komunala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Izola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proofErr w:type="gramStart"/>
      <w:r w:rsidRPr="0098099B">
        <w:rPr>
          <w:rFonts w:ascii="Times New Roman" w:eastAsia="Times New Roman" w:hAnsi="Times New Roman" w:cs="Times New Roman"/>
          <w:lang w:eastAsia="sl-SI"/>
        </w:rPr>
        <w:t>d.o.o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>.</w:t>
      </w:r>
      <w:proofErr w:type="gramEnd"/>
      <w:r w:rsidRPr="0098099B">
        <w:rPr>
          <w:rFonts w:ascii="Times New Roman" w:eastAsia="Times New Roman" w:hAnsi="Times New Roman" w:cs="Times New Roman"/>
          <w:lang w:eastAsia="sl-SI"/>
        </w:rPr>
        <w:t xml:space="preserve"> – Azienda pubblica </w:t>
      </w:r>
      <w:proofErr w:type="spellStart"/>
      <w:r w:rsidRPr="0098099B">
        <w:rPr>
          <w:rFonts w:ascii="Times New Roman" w:eastAsia="Times New Roman" w:hAnsi="Times New Roman" w:cs="Times New Roman"/>
          <w:lang w:eastAsia="sl-SI"/>
        </w:rPr>
        <w:t>Komunala</w:t>
      </w:r>
      <w:proofErr w:type="spellEnd"/>
      <w:r w:rsidRPr="0098099B">
        <w:rPr>
          <w:rFonts w:ascii="Times New Roman" w:eastAsia="Times New Roman" w:hAnsi="Times New Roman" w:cs="Times New Roman"/>
          <w:lang w:eastAsia="sl-SI"/>
        </w:rPr>
        <w:t xml:space="preserve"> Isola, S.r.l.,</w:t>
      </w:r>
    </w:p>
    <w:p w:rsidR="001F5CFE" w:rsidRPr="0098099B" w:rsidRDefault="00814BB6" w:rsidP="001F5C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98099B">
        <w:rPr>
          <w:rFonts w:ascii="Times New Roman" w:eastAsia="Times New Roman" w:hAnsi="Times New Roman" w:cs="Times New Roman"/>
          <w:lang w:eastAsia="sl-SI"/>
        </w:rPr>
        <w:t>Atti.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FE"/>
    <w:rsid w:val="00011061"/>
    <w:rsid w:val="0003416B"/>
    <w:rsid w:val="00185B91"/>
    <w:rsid w:val="001F5CFE"/>
    <w:rsid w:val="002B09F3"/>
    <w:rsid w:val="003C0E49"/>
    <w:rsid w:val="004902B0"/>
    <w:rsid w:val="004B7BE7"/>
    <w:rsid w:val="007A38F9"/>
    <w:rsid w:val="00804E9D"/>
    <w:rsid w:val="00814BB6"/>
    <w:rsid w:val="008E6581"/>
    <w:rsid w:val="0098099B"/>
    <w:rsid w:val="00C45868"/>
    <w:rsid w:val="00C87F39"/>
    <w:rsid w:val="00DE0CF5"/>
    <w:rsid w:val="00E86D13"/>
    <w:rsid w:val="00ED7B41"/>
    <w:rsid w:val="00F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7</cp:revision>
  <dcterms:created xsi:type="dcterms:W3CDTF">2016-06-23T11:28:00Z</dcterms:created>
  <dcterms:modified xsi:type="dcterms:W3CDTF">2016-06-24T08:58:00Z</dcterms:modified>
  <cp:contentStatus/>
</cp:coreProperties>
</file>