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29" w:rsidRPr="00062E73" w:rsidRDefault="000F5429" w:rsidP="000F5429">
      <w:pPr>
        <w:spacing w:after="0" w:line="240" w:lineRule="auto"/>
        <w:ind w:left="7788"/>
        <w:rPr>
          <w:rFonts w:ascii="Times New Roman" w:eastAsia="Times New Roman" w:hAnsi="Times New Roman"/>
          <w:sz w:val="20"/>
          <w:szCs w:val="20"/>
          <w:lang w:val="it-IT" w:eastAsia="sl-SI"/>
        </w:rPr>
      </w:pPr>
      <w:r w:rsidRPr="00062E73">
        <w:rPr>
          <w:rFonts w:ascii="Times New Roman" w:eastAsia="Times New Roman" w:hAnsi="Times New Roman"/>
          <w:sz w:val="20"/>
          <w:szCs w:val="20"/>
          <w:lang w:val="it-IT" w:eastAsia="sl-SI"/>
        </w:rPr>
        <w:t xml:space="preserve">     </w:t>
      </w:r>
      <w:r w:rsidR="0034745B" w:rsidRPr="00062E73">
        <w:rPr>
          <w:rFonts w:ascii="Times New Roman" w:eastAsia="Times New Roman" w:hAnsi="Times New Roman"/>
          <w:sz w:val="20"/>
          <w:szCs w:val="20"/>
          <w:lang w:val="it-IT" w:eastAsia="sl-SI"/>
        </w:rPr>
        <w:t>Allegato</w:t>
      </w:r>
      <w:r w:rsidRPr="00062E73">
        <w:rPr>
          <w:rFonts w:ascii="Times New Roman" w:hAnsi="Times New Roman"/>
          <w:sz w:val="24"/>
          <w:szCs w:val="24"/>
          <w:lang w:val="it-IT"/>
        </w:rPr>
        <w:t xml:space="preserve"> II</w:t>
      </w:r>
    </w:p>
    <w:p w:rsidR="000F5429" w:rsidRPr="00062E73" w:rsidRDefault="000F5429" w:rsidP="000F5429">
      <w:pPr>
        <w:spacing w:after="0" w:line="240" w:lineRule="auto"/>
        <w:ind w:left="2832"/>
        <w:rPr>
          <w:rFonts w:ascii="Times New Roman" w:eastAsia="Times New Roman" w:hAnsi="Times New Roman"/>
          <w:sz w:val="20"/>
          <w:szCs w:val="20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F5429" w:rsidRPr="00062E73" w:rsidTr="000F5429">
        <w:tc>
          <w:tcPr>
            <w:tcW w:w="1044" w:type="dxa"/>
          </w:tcPr>
          <w:p w:rsidR="000F5429" w:rsidRPr="00062E73" w:rsidRDefault="000F5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it-IT" w:eastAsia="sl-SI"/>
              </w:rPr>
            </w:pPr>
            <w:r w:rsidRPr="00062E73">
              <w:rPr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469B7484" wp14:editId="44F5C25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5429" w:rsidRPr="00062E73" w:rsidRDefault="000F5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</w:p>
        </w:tc>
        <w:tc>
          <w:tcPr>
            <w:tcW w:w="8168" w:type="dxa"/>
            <w:hideMark/>
          </w:tcPr>
          <w:p w:rsidR="000F5429" w:rsidRPr="00062E73" w:rsidRDefault="000F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062E73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OBČINA IZOLA – COMUNE DI ISOLA</w:t>
            </w:r>
            <w:r w:rsidRPr="00062E73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                                                 PRO</w:t>
            </w:r>
            <w:r w:rsidR="0034745B" w:rsidRPr="00062E73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>POSTA</w:t>
            </w:r>
          </w:p>
          <w:p w:rsidR="000F5429" w:rsidRPr="00062E73" w:rsidRDefault="000F542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</w:pPr>
            <w:r w:rsidRPr="00062E73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0F5429" w:rsidRPr="00062E73" w:rsidRDefault="000F54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062E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062E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062E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0F5429" w:rsidRPr="00062E73" w:rsidRDefault="000F54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062E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062E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062E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0F5429" w:rsidRPr="00062E73" w:rsidRDefault="000F54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062E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062E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0F5429" w:rsidRPr="00062E73" w:rsidRDefault="000F54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062E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062E73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0F5429" w:rsidRPr="00062E73" w:rsidRDefault="000F5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062E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062E73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http://www.izola.si/</w:t>
              </w:r>
            </w:hyperlink>
          </w:p>
        </w:tc>
      </w:tr>
    </w:tbl>
    <w:p w:rsidR="000F5429" w:rsidRPr="00062E73" w:rsidRDefault="000F5429" w:rsidP="000F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it-IT" w:eastAsia="sl-SI"/>
        </w:rPr>
      </w:pPr>
    </w:p>
    <w:p w:rsidR="000F5429" w:rsidRPr="00062E73" w:rsidRDefault="0034745B" w:rsidP="000F54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. n.</w:t>
      </w:r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: 352-10-14/2005</w:t>
      </w:r>
    </w:p>
    <w:p w:rsidR="000F5429" w:rsidRPr="00062E73" w:rsidRDefault="0034745B" w:rsidP="000F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Data</w:t>
      </w:r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: </w:t>
      </w: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34745B" w:rsidRPr="0034745B" w:rsidRDefault="0034745B" w:rsidP="003474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34745B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34745B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34745B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. </w:t>
      </w:r>
      <w:hyperlink r:id="rId8" w:tgtFrame="_blank" w:tooltip="Zakon o lokalni samoupravi (uradno prečiščeno besedilo)" w:history="1">
        <w:r w:rsidRPr="00062E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it-IT" w:eastAsia="sl-SI"/>
          </w:rPr>
          <w:t>94/07</w:t>
        </w:r>
      </w:hyperlink>
      <w:r w:rsidRPr="0034745B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– testo unico ufficiale, </w:t>
      </w:r>
      <w:hyperlink r:id="rId9" w:tgtFrame="_blank" w:tooltip="Zakon o dopolnitvi Zakona o lokalni samoupravi" w:history="1">
        <w:r w:rsidRPr="00062E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it-IT" w:eastAsia="sl-SI"/>
          </w:rPr>
          <w:t>76/08</w:t>
        </w:r>
      </w:hyperlink>
      <w:r w:rsidRPr="0034745B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, </w:t>
      </w:r>
      <w:hyperlink r:id="rId10" w:tgtFrame="_blank" w:tooltip="Zakon o spremembah in dopolnitvah Zakona o lokalni samoupravi" w:history="1">
        <w:r w:rsidRPr="00062E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it-IT" w:eastAsia="sl-SI"/>
          </w:rPr>
          <w:t>79/09</w:t>
        </w:r>
      </w:hyperlink>
      <w:r w:rsidRPr="0034745B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, </w:t>
      </w:r>
      <w:hyperlink r:id="rId11" w:tgtFrame="_blank" w:tooltip="Zakon o spremembah in dopolnitvah Zakona o lokalni samoupravi" w:history="1">
        <w:r w:rsidRPr="00062E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it-IT" w:eastAsia="sl-SI"/>
          </w:rPr>
          <w:t>51/10</w:t>
        </w:r>
      </w:hyperlink>
      <w:r w:rsidRPr="0034745B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, </w:t>
      </w:r>
      <w:hyperlink r:id="rId12" w:tgtFrame="_blank" w:tooltip="Zakon za uravnoteženje javnih financ" w:history="1">
        <w:r w:rsidRPr="00062E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it-IT" w:eastAsia="sl-SI"/>
          </w:rPr>
          <w:t>40/12</w:t>
        </w:r>
      </w:hyperlink>
      <w:r w:rsidRPr="0034745B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– Sigla: ZUJF, </w:t>
      </w:r>
      <w:hyperlink r:id="rId13" w:tgtFrame="_blank" w:tooltip="Zakon o ukrepih za uravnoteženje javnih financ občin" w:history="1">
        <w:r w:rsidRPr="00062E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it-IT" w:eastAsia="sl-SI"/>
          </w:rPr>
          <w:t>14/15</w:t>
        </w:r>
      </w:hyperlink>
      <w:r w:rsidRPr="0034745B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– Sigla: ZUUJFO, </w:t>
      </w:r>
      <w:hyperlink r:id="rId14" w:tgtFrame="_blank" w:tooltip="Zakon o stvarnem premoženju države in samoupravnih lokalnih skupnosti" w:history="1">
        <w:r w:rsidRPr="00062E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it-IT" w:eastAsia="sl-SI"/>
          </w:rPr>
          <w:t>11/18</w:t>
        </w:r>
      </w:hyperlink>
      <w:r w:rsidRPr="0034745B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– Sigla: ZSPDSLS-1 e </w:t>
      </w:r>
      <w:hyperlink r:id="rId15" w:tgtFrame="_blank" w:tooltip="Zakon o spremembah in dopolnitvah Zakona o lokalni samoupravi" w:history="1">
        <w:r w:rsidRPr="00062E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it-IT" w:eastAsia="sl-SI"/>
          </w:rPr>
          <w:t>30/18</w:t>
        </w:r>
      </w:hyperlink>
      <w:r w:rsidRPr="0034745B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), degli articoli 30 e 101 dello Statuto del Comune di Isola – testo unico ufficiale (Bollettino Ufficiale del Comune di Isola n. 5/18), il Consiglio del Comune di Isola, riunitosi il …… alla sua …. seduta ordinaria, approva il seguente  </w:t>
      </w: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34745B" w:rsidRPr="0034745B" w:rsidRDefault="0034745B" w:rsidP="00347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34745B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Decreto di modifica e integrazione del Decreto sull'ordinamento di mercato</w:t>
      </w:r>
    </w:p>
    <w:p w:rsidR="000F5429" w:rsidRPr="00062E73" w:rsidRDefault="000F5429" w:rsidP="000F54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0F5429" w:rsidRPr="00062E73" w:rsidRDefault="000F5429" w:rsidP="000F54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0F5429" w:rsidRPr="00062E73" w:rsidRDefault="0034745B" w:rsidP="0034745B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val="it-IT"/>
        </w:rPr>
      </w:pPr>
      <w:r w:rsidRPr="00062E73">
        <w:rPr>
          <w:rFonts w:ascii="Times New Roman" w:hAnsi="Times New Roman"/>
          <w:sz w:val="24"/>
          <w:szCs w:val="24"/>
          <w:lang w:val="it-IT"/>
        </w:rPr>
        <w:t>Articolo 1</w:t>
      </w:r>
    </w:p>
    <w:p w:rsidR="000F5429" w:rsidRPr="00062E73" w:rsidRDefault="000F5429" w:rsidP="000F54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0F5429" w:rsidRPr="00062E73" w:rsidRDefault="0034745B" w:rsidP="000F5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62E73">
        <w:rPr>
          <w:rFonts w:ascii="Times New Roman" w:hAnsi="Times New Roman"/>
          <w:sz w:val="24"/>
          <w:szCs w:val="24"/>
          <w:lang w:val="it-IT"/>
        </w:rPr>
        <w:t xml:space="preserve">Nel Decreto sull'ordinamento di mercato (Bollettino Ufficiale del Comune di Isola </w:t>
      </w:r>
      <w:proofErr w:type="spellStart"/>
      <w:r w:rsidRPr="00062E73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062E73">
        <w:rPr>
          <w:rFonts w:ascii="Times New Roman" w:hAnsi="Times New Roman"/>
          <w:sz w:val="24"/>
          <w:szCs w:val="24"/>
          <w:lang w:val="it-IT"/>
        </w:rPr>
        <w:t>.</w:t>
      </w:r>
      <w:r w:rsidR="000F5429" w:rsidRPr="00062E73">
        <w:rPr>
          <w:rFonts w:ascii="Times New Roman" w:hAnsi="Times New Roman"/>
          <w:sz w:val="24"/>
          <w:szCs w:val="24"/>
          <w:lang w:val="it-IT"/>
        </w:rPr>
        <w:t xml:space="preserve"> 11/06 </w:t>
      </w:r>
      <w:r w:rsidRPr="00062E73">
        <w:rPr>
          <w:rFonts w:ascii="Times New Roman" w:hAnsi="Times New Roman"/>
          <w:sz w:val="24"/>
          <w:szCs w:val="24"/>
          <w:lang w:val="it-IT"/>
        </w:rPr>
        <w:t>e</w:t>
      </w:r>
      <w:r w:rsidR="000F5429" w:rsidRPr="00062E73">
        <w:rPr>
          <w:rFonts w:ascii="Times New Roman" w:hAnsi="Times New Roman"/>
          <w:sz w:val="24"/>
          <w:szCs w:val="24"/>
          <w:lang w:val="it-IT"/>
        </w:rPr>
        <w:t xml:space="preserve"> 20/16) s</w:t>
      </w:r>
      <w:r w:rsidRPr="00062E73">
        <w:rPr>
          <w:rFonts w:ascii="Times New Roman" w:hAnsi="Times New Roman"/>
          <w:sz w:val="24"/>
          <w:szCs w:val="24"/>
          <w:lang w:val="it-IT"/>
        </w:rPr>
        <w:t>i modifica l'articolo 2 che recita ora come segue</w:t>
      </w:r>
      <w:r w:rsidR="000F5429" w:rsidRPr="00062E73">
        <w:rPr>
          <w:rFonts w:ascii="Times New Roman" w:hAnsi="Times New Roman"/>
          <w:sz w:val="24"/>
          <w:szCs w:val="24"/>
          <w:lang w:val="it-IT"/>
        </w:rPr>
        <w:t>:</w:t>
      </w: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F5429" w:rsidRPr="00062E73" w:rsidRDefault="000F5429" w:rsidP="000F5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 w:rsidRPr="00062E73">
        <w:rPr>
          <w:rFonts w:ascii="Times New Roman" w:hAnsi="Times New Roman"/>
          <w:bCs/>
          <w:color w:val="000000"/>
          <w:sz w:val="24"/>
          <w:szCs w:val="24"/>
          <w:lang w:val="it-IT"/>
        </w:rPr>
        <w:t>»</w:t>
      </w:r>
      <w:r w:rsidR="0034745B" w:rsidRPr="00062E73">
        <w:rPr>
          <w:rFonts w:ascii="Times New Roman" w:hAnsi="Times New Roman"/>
          <w:bCs/>
          <w:color w:val="000000"/>
          <w:sz w:val="24"/>
          <w:szCs w:val="24"/>
          <w:lang w:val="it-IT"/>
        </w:rPr>
        <w:t>Articolo</w:t>
      </w:r>
      <w:proofErr w:type="gramEnd"/>
      <w:r w:rsidR="0034745B" w:rsidRPr="00062E73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0F5429" w:rsidRPr="00062E73" w:rsidRDefault="000F5429" w:rsidP="000F5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(</w:t>
      </w:r>
      <w:r w:rsidR="0034745B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ubicazione del mercato e del mercato agricolo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)</w:t>
      </w:r>
    </w:p>
    <w:p w:rsidR="000F5429" w:rsidRPr="00062E73" w:rsidRDefault="000F5429" w:rsidP="000F5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F5429" w:rsidRPr="00062E73" w:rsidRDefault="007B3706" w:rsidP="000F5429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062E73">
        <w:rPr>
          <w:rFonts w:ascii="Times New Roman" w:hAnsi="Times New Roman"/>
          <w:sz w:val="24"/>
          <w:szCs w:val="24"/>
          <w:lang w:val="it-IT"/>
        </w:rPr>
        <w:t xml:space="preserve">Ai sensi del presente decreto, il mercato è un luogo allestito e organizzato sulla piazzola innalzata in Piazza </w:t>
      </w:r>
      <w:proofErr w:type="spellStart"/>
      <w:r w:rsidRPr="00062E73">
        <w:rPr>
          <w:rFonts w:ascii="Times New Roman" w:hAnsi="Times New Roman"/>
          <w:sz w:val="24"/>
          <w:szCs w:val="24"/>
          <w:lang w:val="it-IT"/>
        </w:rPr>
        <w:t>Etbin</w:t>
      </w:r>
      <w:proofErr w:type="spellEnd"/>
      <w:r w:rsidRPr="00062E73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62E73">
        <w:rPr>
          <w:rFonts w:ascii="Times New Roman" w:hAnsi="Times New Roman"/>
          <w:sz w:val="24"/>
          <w:szCs w:val="24"/>
          <w:lang w:val="it-IT"/>
        </w:rPr>
        <w:t>Kristan</w:t>
      </w:r>
      <w:proofErr w:type="spellEnd"/>
      <w:r w:rsidRPr="00062E73">
        <w:rPr>
          <w:rFonts w:ascii="Times New Roman" w:hAnsi="Times New Roman"/>
          <w:sz w:val="24"/>
          <w:szCs w:val="24"/>
          <w:lang w:val="it-IT"/>
        </w:rPr>
        <w:t xml:space="preserve"> a Isola</w:t>
      </w:r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insistente sulla p.c.</w:t>
      </w:r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358/1, </w:t>
      </w:r>
      <w:proofErr w:type="spellStart"/>
      <w:proofErr w:type="gramStart"/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C</w:t>
      </w:r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c</w:t>
      </w:r>
      <w:proofErr w:type="spellEnd"/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I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s</w:t>
      </w:r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ola</w:t>
      </w:r>
      <w:proofErr w:type="gramEnd"/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r w:rsidRPr="00062E73">
        <w:rPr>
          <w:rFonts w:ascii="Times New Roman" w:hAnsi="Times New Roman"/>
          <w:sz w:val="24"/>
          <w:szCs w:val="24"/>
          <w:lang w:val="it-IT"/>
        </w:rPr>
        <w:t>dove su una superficie scoperta e delimitata da appositi contrassegni ed in punti di vendita particolari si effet</w:t>
      </w:r>
      <w:r w:rsidRPr="00062E73">
        <w:rPr>
          <w:rFonts w:ascii="Times New Roman" w:hAnsi="Times New Roman"/>
          <w:sz w:val="24"/>
          <w:szCs w:val="24"/>
          <w:lang w:val="it-IT"/>
        </w:rPr>
        <w:t>tua il commercio in generi vari</w:t>
      </w:r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Nell'ambito del mercato sono allestiti anche i </w:t>
      </w:r>
      <w:proofErr w:type="gramStart"/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bagni, </w:t>
      </w:r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proofErr w:type="gramEnd"/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cioè presso l'edificio 883, codice ID 2626-883-18, destinati ai venditori permanenti e temporanei dei mercato</w:t>
      </w:r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In detta are è</w:t>
      </w:r>
      <w:r w:rsidR="00A90D91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ammessa anche l'attività del mercato agricolo locale</w:t>
      </w:r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0F5429" w:rsidRPr="00062E73" w:rsidRDefault="000F5429" w:rsidP="000F5429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A90D91" w:rsidRPr="00062E73" w:rsidRDefault="00A90D91" w:rsidP="00A90D91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Il m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ercato agricolo di Isola si trova sulla superficie pubblica tra gli stabili all'indirizzo Viale I maggio n. 6 e Via delle Brigate d'Oltremare n. 1 – parte della p.c. 1314 C.c. Isola di proprietà del Comune di </w:t>
      </w:r>
      <w:proofErr w:type="gramStart"/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Isola.«</w:t>
      </w:r>
      <w:proofErr w:type="gramEnd"/>
    </w:p>
    <w:p w:rsidR="000F5429" w:rsidRPr="00062E73" w:rsidRDefault="000F5429" w:rsidP="000F5429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0F5429" w:rsidRPr="00062E73" w:rsidRDefault="00A90D91" w:rsidP="00A90D9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it-IT"/>
        </w:rPr>
      </w:pPr>
      <w:r w:rsidRPr="00062E73">
        <w:rPr>
          <w:rFonts w:ascii="Times New Roman" w:hAnsi="Times New Roman"/>
          <w:sz w:val="24"/>
          <w:szCs w:val="24"/>
          <w:lang w:val="it-IT"/>
        </w:rPr>
        <w:t>Articolo 2</w:t>
      </w: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F5429" w:rsidRPr="00062E73" w:rsidRDefault="00A90D91" w:rsidP="000F5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62E73">
        <w:rPr>
          <w:rFonts w:ascii="Times New Roman" w:hAnsi="Times New Roman"/>
          <w:sz w:val="24"/>
          <w:szCs w:val="24"/>
          <w:lang w:val="it-IT"/>
        </w:rPr>
        <w:t>Si modifica l'articolo 3 che recita ora come segue</w:t>
      </w:r>
      <w:r w:rsidR="000F5429" w:rsidRPr="00062E73">
        <w:rPr>
          <w:rFonts w:ascii="Times New Roman" w:hAnsi="Times New Roman"/>
          <w:sz w:val="24"/>
          <w:szCs w:val="24"/>
          <w:lang w:val="it-IT"/>
        </w:rPr>
        <w:t>:</w:t>
      </w: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F5429" w:rsidRPr="00062E73" w:rsidRDefault="000F5429" w:rsidP="000F542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 w:rsidRPr="00062E73">
        <w:rPr>
          <w:color w:val="000000"/>
          <w:sz w:val="24"/>
          <w:lang w:val="it-IT"/>
        </w:rPr>
        <w:t>»</w:t>
      </w:r>
      <w:r w:rsidR="00A90D91" w:rsidRPr="00062E73">
        <w:rPr>
          <w:color w:val="000000"/>
          <w:sz w:val="24"/>
          <w:lang w:val="it-IT"/>
        </w:rPr>
        <w:t>Articolo</w:t>
      </w:r>
      <w:proofErr w:type="gramEnd"/>
      <w:r w:rsidR="00A90D91" w:rsidRPr="00062E73">
        <w:rPr>
          <w:color w:val="000000"/>
          <w:sz w:val="24"/>
          <w:lang w:val="it-IT"/>
        </w:rPr>
        <w:t xml:space="preserve"> 3</w:t>
      </w:r>
    </w:p>
    <w:p w:rsidR="000F5429" w:rsidRPr="00062E73" w:rsidRDefault="000F5429" w:rsidP="000F5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(</w:t>
      </w:r>
      <w:r w:rsidR="00A90D91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gestore del mercato e del mercato agricolo locale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)</w:t>
      </w:r>
    </w:p>
    <w:p w:rsidR="000F5429" w:rsidRPr="00062E73" w:rsidRDefault="000F5429" w:rsidP="000F5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F5429" w:rsidRPr="00062E73" w:rsidRDefault="00A90D91" w:rsidP="000F5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La gestione del mercato 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 del mercato agricolo </w:t>
      </w:r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è a cura dell'azienda: </w:t>
      </w:r>
      <w:proofErr w:type="spellStart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Javno</w:t>
      </w:r>
      <w:proofErr w:type="spellEnd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podjetje</w:t>
      </w:r>
      <w:proofErr w:type="spellEnd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Komunala</w:t>
      </w:r>
      <w:proofErr w:type="spellEnd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Izola</w:t>
      </w:r>
      <w:proofErr w:type="spellEnd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d.o.o</w:t>
      </w:r>
      <w:proofErr w:type="spellEnd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-  Azienda pubblica </w:t>
      </w:r>
      <w:proofErr w:type="spellStart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Komunala</w:t>
      </w:r>
      <w:proofErr w:type="spellEnd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Isola S.r.l.; l'azienda ha sede a Isola, Strada Industriale n. </w:t>
      </w:r>
      <w:proofErr w:type="gramStart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8.</w:t>
      </w:r>
      <w:r w:rsidR="000F5429"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«</w:t>
      </w:r>
      <w:proofErr w:type="gramEnd"/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F5429" w:rsidRPr="00062E73" w:rsidRDefault="00A90D91" w:rsidP="00A90D9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permStart w:id="182667215" w:edGrp="everyone"/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Articolo 3</w:t>
      </w:r>
      <w:permEnd w:id="182667215"/>
    </w:p>
    <w:p w:rsidR="00A90D91" w:rsidRPr="00A90D91" w:rsidRDefault="00A90D91" w:rsidP="00A90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Dopo l'articolo 11 si aggiunge un nuovo articolo 11/a che recita come segue:</w:t>
      </w:r>
    </w:p>
    <w:p w:rsidR="00A90D91" w:rsidRPr="00A90D91" w:rsidRDefault="00A90D91" w:rsidP="00A90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A90D91" w:rsidRPr="00A90D91" w:rsidRDefault="00A90D91" w:rsidP="00A90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»Articolo</w:t>
      </w:r>
      <w:proofErr w:type="gramEnd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11/a</w:t>
      </w:r>
    </w:p>
    <w:p w:rsidR="00A90D91" w:rsidRPr="00062E73" w:rsidRDefault="00A90D91" w:rsidP="00A90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(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merce venduta al m</w:t>
      </w:r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ercato agricolo</w:t>
      </w: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locale</w:t>
      </w:r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)</w:t>
      </w:r>
    </w:p>
    <w:p w:rsidR="00A90D91" w:rsidRPr="00A90D91" w:rsidRDefault="00A90D91" w:rsidP="00A90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A90D91" w:rsidRPr="00A90D91" w:rsidRDefault="00A90D91" w:rsidP="00A90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062E73">
        <w:rPr>
          <w:rFonts w:ascii="Times New Roman" w:eastAsia="Times New Roman" w:hAnsi="Times New Roman"/>
          <w:sz w:val="24"/>
          <w:szCs w:val="24"/>
          <w:lang w:val="it-IT" w:eastAsia="sl-SI"/>
        </w:rPr>
        <w:t>Al m</w:t>
      </w:r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ercato agricolo si svolge la vendita in dettaglio dei seguenti prodotti: </w:t>
      </w:r>
    </w:p>
    <w:p w:rsidR="00A90D91" w:rsidRPr="00A90D91" w:rsidRDefault="00A90D91" w:rsidP="00A90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1. alimentari: frumento, macinati, prodotti da formo preconfezionati, ortaggi, seminativi, frutta e prodotti di frutta, miele e prodotti a base di miele, altri alimentari di origine vegetale e animale, erbe medicinali, frutti di bosco, </w:t>
      </w:r>
    </w:p>
    <w:p w:rsidR="00A90D91" w:rsidRPr="00A90D91" w:rsidRDefault="00A90D91" w:rsidP="00A90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2. prodotti non alimentari: semi, piantine di ortaggi e </w:t>
      </w:r>
      <w:proofErr w:type="gramStart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frutta.«</w:t>
      </w:r>
      <w:proofErr w:type="gramEnd"/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F5429" w:rsidRPr="00062E73" w:rsidRDefault="00A90D91" w:rsidP="00A90D91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val="it-IT"/>
        </w:rPr>
      </w:pPr>
      <w:r w:rsidRPr="00062E73">
        <w:rPr>
          <w:rFonts w:ascii="Times New Roman" w:hAnsi="Times New Roman"/>
          <w:sz w:val="24"/>
          <w:szCs w:val="24"/>
          <w:lang w:val="it-IT"/>
        </w:rPr>
        <w:t>Articolo 4</w:t>
      </w:r>
    </w:p>
    <w:p w:rsidR="000F5429" w:rsidRPr="00062E73" w:rsidRDefault="000F5429" w:rsidP="000F5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A90D91" w:rsidRPr="00A90D91" w:rsidRDefault="00A90D91" w:rsidP="00A9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L'articolo 15 del Decreto viene modificato e recita ora come segue:</w:t>
      </w:r>
    </w:p>
    <w:p w:rsidR="00A90D91" w:rsidRPr="00A90D91" w:rsidRDefault="00A90D91" w:rsidP="00A90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A90D91" w:rsidRPr="00A90D91" w:rsidRDefault="00A90D91" w:rsidP="00A90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»Articolo</w:t>
      </w:r>
      <w:proofErr w:type="gramEnd"/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15</w:t>
      </w:r>
    </w:p>
    <w:p w:rsidR="00A90D91" w:rsidRPr="00A90D91" w:rsidRDefault="00A90D91" w:rsidP="00A90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90D91">
        <w:rPr>
          <w:rFonts w:ascii="Times New Roman" w:eastAsia="Times New Roman" w:hAnsi="Times New Roman"/>
          <w:sz w:val="24"/>
          <w:szCs w:val="24"/>
          <w:lang w:val="it-IT" w:eastAsia="sl-SI"/>
        </w:rPr>
        <w:t>(tariffario dei servizi di mercato)</w:t>
      </w:r>
    </w:p>
    <w:p w:rsidR="00A90D91" w:rsidRPr="00A90D91" w:rsidRDefault="00A90D91" w:rsidP="00A90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A90D91" w:rsidRPr="00A90D91" w:rsidRDefault="00A90D91" w:rsidP="00A90D9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A90D91">
        <w:rPr>
          <w:rFonts w:ascii="Times New Roman" w:hAnsi="Times New Roman"/>
          <w:sz w:val="24"/>
          <w:szCs w:val="24"/>
          <w:lang w:val="it-IT"/>
        </w:rPr>
        <w:t xml:space="preserve">Il Consiglio del Comune di Isola approva con apposita delibera il tariffario del servizio pubblico di rilevanza economica su proposta del gestore. La delibera sulla determinazione dei canoni </w:t>
      </w:r>
      <w:proofErr w:type="spellStart"/>
      <w:r w:rsidRPr="00A90D91">
        <w:rPr>
          <w:rFonts w:ascii="Times New Roman" w:hAnsi="Times New Roman"/>
          <w:sz w:val="24"/>
          <w:szCs w:val="24"/>
          <w:lang w:val="it-IT"/>
        </w:rPr>
        <w:t>ovv</w:t>
      </w:r>
      <w:proofErr w:type="spellEnd"/>
      <w:r w:rsidRPr="00A90D91">
        <w:rPr>
          <w:rFonts w:ascii="Times New Roman" w:hAnsi="Times New Roman"/>
          <w:sz w:val="24"/>
          <w:szCs w:val="24"/>
          <w:lang w:val="it-IT"/>
        </w:rPr>
        <w:t>. delle tariffe del servizio pubblico di rilevanza econ</w:t>
      </w:r>
      <w:r w:rsidRPr="00062E73">
        <w:rPr>
          <w:rFonts w:ascii="Times New Roman" w:hAnsi="Times New Roman"/>
          <w:sz w:val="24"/>
          <w:szCs w:val="24"/>
          <w:lang w:val="it-IT"/>
        </w:rPr>
        <w:t>o</w:t>
      </w:r>
      <w:r w:rsidRPr="00A90D91">
        <w:rPr>
          <w:rFonts w:ascii="Times New Roman" w:hAnsi="Times New Roman"/>
          <w:sz w:val="24"/>
          <w:szCs w:val="24"/>
          <w:lang w:val="it-IT"/>
        </w:rPr>
        <w:t xml:space="preserve">mica si pubblica nel Bollettino Ufficiale del Comune di Isola. </w:t>
      </w:r>
    </w:p>
    <w:p w:rsidR="00A90D91" w:rsidRPr="00A90D91" w:rsidRDefault="00A90D91" w:rsidP="00A90D9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A90D91">
        <w:rPr>
          <w:rFonts w:ascii="Times New Roman" w:hAnsi="Times New Roman"/>
          <w:sz w:val="24"/>
          <w:szCs w:val="24"/>
          <w:lang w:val="it-IT"/>
        </w:rPr>
        <w:t xml:space="preserve">Il decreto contenente l'orario di servizio del mercato e il tariffario devono essere esposti al mercato in un punto bene in vista.  Si pubblicano anche sulla pagina web del comune e nel Bollettino Ufficiale del Comune di </w:t>
      </w:r>
      <w:proofErr w:type="gramStart"/>
      <w:r w:rsidRPr="00A90D91">
        <w:rPr>
          <w:rFonts w:ascii="Times New Roman" w:hAnsi="Times New Roman"/>
          <w:sz w:val="24"/>
          <w:szCs w:val="24"/>
          <w:lang w:val="it-IT"/>
        </w:rPr>
        <w:t>Isola.</w:t>
      </w:r>
      <w:r w:rsidRPr="00A90D91">
        <w:rPr>
          <w:lang w:val="it-IT"/>
        </w:rPr>
        <w:t>«</w:t>
      </w:r>
      <w:proofErr w:type="gramEnd"/>
    </w:p>
    <w:p w:rsidR="000F5429" w:rsidRPr="00062E73" w:rsidRDefault="000F5429" w:rsidP="000F5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F5429" w:rsidRPr="00062E73" w:rsidRDefault="000F5429" w:rsidP="000F5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F5429" w:rsidRPr="00062E73" w:rsidRDefault="00A90D91" w:rsidP="00A90D91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val="it-IT"/>
        </w:rPr>
      </w:pPr>
      <w:r w:rsidRPr="00062E73">
        <w:rPr>
          <w:rFonts w:ascii="Times New Roman" w:hAnsi="Times New Roman"/>
          <w:sz w:val="24"/>
          <w:szCs w:val="24"/>
          <w:lang w:val="it-IT"/>
        </w:rPr>
        <w:t>Articolo 5</w:t>
      </w:r>
    </w:p>
    <w:p w:rsidR="000F5429" w:rsidRPr="00062E73" w:rsidRDefault="000F5429" w:rsidP="000F542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it-IT"/>
        </w:rPr>
      </w:pPr>
    </w:p>
    <w:p w:rsidR="000F5429" w:rsidRPr="00062E73" w:rsidRDefault="00062E73" w:rsidP="000F54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62E73">
        <w:rPr>
          <w:rFonts w:ascii="Times New Roman" w:hAnsi="Times New Roman"/>
          <w:color w:val="000000"/>
          <w:sz w:val="24"/>
          <w:szCs w:val="24"/>
          <w:lang w:val="it-IT"/>
        </w:rPr>
        <w:t>Il presente Decreto entra in vigore il giorno successivo alla sua pubblicazione nel Bollettino Ufficiale del Comune di Isola</w:t>
      </w:r>
      <w:r w:rsidR="000F5429" w:rsidRPr="00062E73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062E73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             </w:t>
      </w:r>
      <w:r w:rsidR="00062E73" w:rsidRPr="00062E73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Il Sindaco</w:t>
      </w: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062E73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    Danilo Markočič</w:t>
      </w: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62E73">
        <w:rPr>
          <w:rFonts w:ascii="Times New Roman" w:hAnsi="Times New Roman"/>
          <w:sz w:val="24"/>
          <w:szCs w:val="24"/>
          <w:lang w:val="it-IT"/>
        </w:rPr>
        <w:t>S</w:t>
      </w:r>
      <w:r w:rsidR="00062E73" w:rsidRPr="00062E73">
        <w:rPr>
          <w:rFonts w:ascii="Times New Roman" w:hAnsi="Times New Roman"/>
          <w:sz w:val="24"/>
          <w:szCs w:val="24"/>
          <w:lang w:val="it-IT"/>
        </w:rPr>
        <w:t>i recapita a</w:t>
      </w:r>
      <w:r w:rsidRPr="00062E73">
        <w:rPr>
          <w:rFonts w:ascii="Times New Roman" w:hAnsi="Times New Roman"/>
          <w:sz w:val="24"/>
          <w:szCs w:val="24"/>
          <w:lang w:val="it-IT"/>
        </w:rPr>
        <w:t>:</w:t>
      </w:r>
      <w:r w:rsidRPr="00062E73">
        <w:rPr>
          <w:rFonts w:ascii="Times New Roman" w:hAnsi="Times New Roman"/>
          <w:sz w:val="24"/>
          <w:szCs w:val="24"/>
          <w:lang w:val="it-IT"/>
        </w:rPr>
        <w:tab/>
      </w:r>
      <w:r w:rsidRPr="00062E73">
        <w:rPr>
          <w:rFonts w:ascii="Times New Roman" w:hAnsi="Times New Roman"/>
          <w:sz w:val="24"/>
          <w:szCs w:val="24"/>
          <w:lang w:val="it-IT"/>
        </w:rPr>
        <w:tab/>
      </w:r>
      <w:r w:rsidRPr="00062E73">
        <w:rPr>
          <w:rFonts w:ascii="Times New Roman" w:hAnsi="Times New Roman"/>
          <w:sz w:val="24"/>
          <w:szCs w:val="24"/>
          <w:lang w:val="it-IT"/>
        </w:rPr>
        <w:tab/>
      </w:r>
      <w:r w:rsidRPr="00062E73">
        <w:rPr>
          <w:rFonts w:ascii="Times New Roman" w:hAnsi="Times New Roman"/>
          <w:sz w:val="24"/>
          <w:szCs w:val="24"/>
          <w:lang w:val="it-IT"/>
        </w:rPr>
        <w:tab/>
      </w:r>
      <w:r w:rsidRPr="00062E73">
        <w:rPr>
          <w:rFonts w:ascii="Times New Roman" w:hAnsi="Times New Roman"/>
          <w:sz w:val="24"/>
          <w:szCs w:val="24"/>
          <w:lang w:val="it-IT"/>
        </w:rPr>
        <w:tab/>
      </w:r>
      <w:r w:rsidRPr="00062E73">
        <w:rPr>
          <w:rFonts w:ascii="Times New Roman" w:hAnsi="Times New Roman"/>
          <w:sz w:val="24"/>
          <w:szCs w:val="24"/>
          <w:lang w:val="it-IT"/>
        </w:rPr>
        <w:tab/>
      </w: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62E73">
        <w:rPr>
          <w:rFonts w:ascii="Times New Roman" w:hAnsi="Times New Roman"/>
          <w:sz w:val="24"/>
          <w:szCs w:val="24"/>
          <w:lang w:val="it-IT"/>
        </w:rPr>
        <w:t>1)</w:t>
      </w:r>
      <w:r w:rsidRPr="00062E73">
        <w:rPr>
          <w:rFonts w:ascii="Times New Roman" w:hAnsi="Times New Roman"/>
          <w:sz w:val="24"/>
          <w:szCs w:val="24"/>
          <w:lang w:val="it-IT"/>
        </w:rPr>
        <w:tab/>
      </w:r>
      <w:r w:rsidR="00062E73" w:rsidRPr="00062E73">
        <w:rPr>
          <w:rFonts w:ascii="Times New Roman" w:hAnsi="Times New Roman"/>
          <w:sz w:val="24"/>
          <w:szCs w:val="24"/>
          <w:lang w:val="it-IT"/>
        </w:rPr>
        <w:t>membri del CC</w:t>
      </w:r>
      <w:r w:rsidRPr="00062E73">
        <w:rPr>
          <w:rFonts w:ascii="Times New Roman" w:hAnsi="Times New Roman"/>
          <w:sz w:val="24"/>
          <w:szCs w:val="24"/>
          <w:lang w:val="it-IT"/>
        </w:rPr>
        <w:t>,</w:t>
      </w: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62E73">
        <w:rPr>
          <w:rFonts w:ascii="Times New Roman" w:hAnsi="Times New Roman"/>
          <w:sz w:val="24"/>
          <w:szCs w:val="24"/>
          <w:lang w:val="it-IT"/>
        </w:rPr>
        <w:t>2)</w:t>
      </w:r>
      <w:r w:rsidRPr="00062E73">
        <w:rPr>
          <w:rFonts w:ascii="Times New Roman" w:hAnsi="Times New Roman"/>
          <w:sz w:val="24"/>
          <w:szCs w:val="24"/>
          <w:lang w:val="it-IT"/>
        </w:rPr>
        <w:tab/>
      </w:r>
      <w:r w:rsidR="00062E73" w:rsidRPr="00062E73">
        <w:rPr>
          <w:rFonts w:ascii="Times New Roman" w:hAnsi="Times New Roman"/>
          <w:sz w:val="24"/>
          <w:szCs w:val="24"/>
          <w:lang w:val="it-IT"/>
        </w:rPr>
        <w:t>Sindaco</w:t>
      </w:r>
      <w:r w:rsidRPr="00062E73">
        <w:rPr>
          <w:rFonts w:ascii="Times New Roman" w:hAnsi="Times New Roman"/>
          <w:sz w:val="24"/>
          <w:szCs w:val="24"/>
          <w:lang w:val="it-IT"/>
        </w:rPr>
        <w:t>,</w:t>
      </w: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62E73">
        <w:rPr>
          <w:rFonts w:ascii="Times New Roman" w:hAnsi="Times New Roman"/>
          <w:sz w:val="24"/>
          <w:szCs w:val="24"/>
          <w:lang w:val="it-IT"/>
        </w:rPr>
        <w:t xml:space="preserve">3)       </w:t>
      </w:r>
      <w:r w:rsidR="00062E73" w:rsidRPr="00062E73">
        <w:rPr>
          <w:rFonts w:ascii="Times New Roman" w:hAnsi="Times New Roman"/>
          <w:sz w:val="24"/>
          <w:szCs w:val="24"/>
          <w:lang w:val="it-IT"/>
        </w:rPr>
        <w:t xml:space="preserve">  atti</w:t>
      </w:r>
      <w:r w:rsidRPr="00062E73">
        <w:rPr>
          <w:rFonts w:ascii="Times New Roman" w:hAnsi="Times New Roman"/>
          <w:sz w:val="24"/>
          <w:szCs w:val="24"/>
          <w:lang w:val="it-IT"/>
        </w:rPr>
        <w:t>,</w:t>
      </w:r>
      <w:r w:rsidRPr="00062E73">
        <w:rPr>
          <w:rFonts w:ascii="Times New Roman" w:hAnsi="Times New Roman"/>
          <w:sz w:val="24"/>
          <w:szCs w:val="24"/>
          <w:lang w:val="it-IT"/>
        </w:rPr>
        <w:tab/>
      </w:r>
    </w:p>
    <w:p w:rsidR="000F5429" w:rsidRPr="00062E73" w:rsidRDefault="000F5429" w:rsidP="000F5429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062E73">
        <w:rPr>
          <w:rFonts w:ascii="Times New Roman" w:hAnsi="Times New Roman"/>
          <w:sz w:val="24"/>
          <w:szCs w:val="24"/>
          <w:lang w:val="it-IT"/>
        </w:rPr>
        <w:t>4)</w:t>
      </w:r>
      <w:r w:rsidRPr="00062E73">
        <w:rPr>
          <w:rFonts w:ascii="Times New Roman" w:hAnsi="Times New Roman"/>
          <w:sz w:val="24"/>
          <w:szCs w:val="24"/>
          <w:lang w:val="it-IT"/>
        </w:rPr>
        <w:tab/>
        <w:t>ar</w:t>
      </w:r>
      <w:r w:rsidR="00062E73" w:rsidRPr="00062E73">
        <w:rPr>
          <w:rFonts w:ascii="Times New Roman" w:hAnsi="Times New Roman"/>
          <w:sz w:val="24"/>
          <w:szCs w:val="24"/>
          <w:lang w:val="it-IT"/>
        </w:rPr>
        <w:t>c</w:t>
      </w:r>
      <w:r w:rsidRPr="00062E73">
        <w:rPr>
          <w:rFonts w:ascii="Times New Roman" w:hAnsi="Times New Roman"/>
          <w:sz w:val="24"/>
          <w:szCs w:val="24"/>
          <w:lang w:val="it-IT"/>
        </w:rPr>
        <w:t>hiv</w:t>
      </w:r>
      <w:r w:rsidR="00062E73" w:rsidRPr="00062E73">
        <w:rPr>
          <w:rFonts w:ascii="Times New Roman" w:hAnsi="Times New Roman"/>
          <w:sz w:val="24"/>
          <w:szCs w:val="24"/>
          <w:lang w:val="it-IT"/>
        </w:rPr>
        <w:t>io</w:t>
      </w:r>
      <w:r w:rsidRPr="00062E73">
        <w:rPr>
          <w:rFonts w:ascii="Times New Roman" w:hAnsi="Times New Roman"/>
          <w:sz w:val="24"/>
          <w:szCs w:val="24"/>
          <w:lang w:val="it-IT"/>
        </w:rPr>
        <w:t xml:space="preserve"> – 2x.</w:t>
      </w:r>
    </w:p>
    <w:p w:rsidR="000F5429" w:rsidRDefault="000F5429" w:rsidP="000F5429">
      <w:pPr>
        <w:spacing w:after="0" w:line="240" w:lineRule="auto"/>
        <w:jc w:val="both"/>
        <w:rPr>
          <w:rFonts w:ascii="Times New Roman" w:hAnsi="Times New Roman"/>
        </w:rPr>
      </w:pPr>
    </w:p>
    <w:p w:rsidR="000F5429" w:rsidRDefault="000F5429" w:rsidP="000F5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F5429" w:rsidRDefault="000F5429" w:rsidP="000F54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F5429" w:rsidRDefault="000F5429" w:rsidP="000F5429"/>
    <w:p w:rsidR="0081376F" w:rsidRDefault="0081376F"/>
    <w:sectPr w:rsidR="0081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E69"/>
    <w:multiLevelType w:val="hybridMultilevel"/>
    <w:tmpl w:val="431844B8"/>
    <w:lvl w:ilvl="0" w:tplc="D1D452E4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709"/>
    <w:multiLevelType w:val="hybridMultilevel"/>
    <w:tmpl w:val="846CB31C"/>
    <w:lvl w:ilvl="0" w:tplc="BD561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2103"/>
    <w:multiLevelType w:val="hybridMultilevel"/>
    <w:tmpl w:val="4058EC6E"/>
    <w:lvl w:ilvl="0" w:tplc="2012A5C6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27D83"/>
    <w:multiLevelType w:val="hybridMultilevel"/>
    <w:tmpl w:val="73609346"/>
    <w:lvl w:ilvl="0" w:tplc="571405C2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29"/>
    <w:rsid w:val="00062E73"/>
    <w:rsid w:val="000F5429"/>
    <w:rsid w:val="0034745B"/>
    <w:rsid w:val="007B3706"/>
    <w:rsid w:val="0081376F"/>
    <w:rsid w:val="00A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2D95"/>
  <w15:chartTrackingRefBased/>
  <w15:docId w15:val="{558910F0-A2CC-452E-918B-15FCBE7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5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542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F5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2020-06-12T08:11:00Z</dcterms:created>
  <dcterms:modified xsi:type="dcterms:W3CDTF">2020-06-12T09:01:00Z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