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44"/>
        <w:gridCol w:w="8028"/>
      </w:tblGrid>
      <w:tr w:rsidR="0053525C" w:rsidRPr="00CA1A2E" w:rsidTr="001D7386">
        <w:tc>
          <w:tcPr>
            <w:tcW w:w="1044" w:type="dxa"/>
          </w:tcPr>
          <w:p w:rsidR="0053525C" w:rsidRPr="00CA1A2E" w:rsidRDefault="0053525C" w:rsidP="001D7386">
            <w:pPr>
              <w:jc w:val="both"/>
            </w:pPr>
            <w:r w:rsidRPr="00CA1A2E">
              <w:rPr>
                <w:noProof/>
              </w:rPr>
              <w:drawing>
                <wp:anchor distT="0" distB="0" distL="114300" distR="114300" simplePos="0" relativeHeight="251659264" behindDoc="0" locked="0" layoutInCell="1" allowOverlap="1" wp14:anchorId="576CA70B" wp14:editId="7E51371F">
                  <wp:simplePos x="0" y="0"/>
                  <wp:positionH relativeFrom="page">
                    <wp:posOffset>-44450</wp:posOffset>
                  </wp:positionH>
                  <wp:positionV relativeFrom="page">
                    <wp:posOffset>-1905</wp:posOffset>
                  </wp:positionV>
                  <wp:extent cx="525145" cy="629285"/>
                  <wp:effectExtent l="0" t="0" r="0"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53525C" w:rsidRPr="00CA1A2E" w:rsidRDefault="0053525C" w:rsidP="001D7386">
            <w:pPr>
              <w:rPr>
                <w:b/>
              </w:rPr>
            </w:pPr>
            <w:r w:rsidRPr="00CA1A2E">
              <w:rPr>
                <w:b/>
              </w:rPr>
              <w:t>OBČINA IZOLA – COMUNE DI ISOLA</w:t>
            </w:r>
          </w:p>
          <w:p w:rsidR="0053525C" w:rsidRPr="00CA1A2E" w:rsidRDefault="0053525C" w:rsidP="001D7386">
            <w:pPr>
              <w:rPr>
                <w:iCs/>
                <w:sz w:val="20"/>
                <w:szCs w:val="20"/>
              </w:rPr>
            </w:pPr>
            <w:r w:rsidRPr="00CA1A2E">
              <w:rPr>
                <w:b/>
                <w:iCs/>
                <w:caps/>
                <w:sz w:val="20"/>
                <w:szCs w:val="20"/>
              </w:rPr>
              <w:t>župan</w:t>
            </w:r>
            <w:r w:rsidRPr="00CA1A2E">
              <w:rPr>
                <w:b/>
                <w:iCs/>
                <w:sz w:val="20"/>
                <w:szCs w:val="20"/>
              </w:rPr>
              <w:t xml:space="preserve"> – IL SINDACO</w:t>
            </w:r>
            <w:r w:rsidRPr="00CA1A2E">
              <w:rPr>
                <w:iCs/>
                <w:sz w:val="20"/>
                <w:szCs w:val="20"/>
              </w:rPr>
              <w:t xml:space="preserve"> </w:t>
            </w:r>
          </w:p>
          <w:p w:rsidR="0053525C" w:rsidRPr="00CA1A2E" w:rsidRDefault="0053525C" w:rsidP="001D7386">
            <w:pPr>
              <w:rPr>
                <w:iCs/>
                <w:sz w:val="20"/>
                <w:szCs w:val="20"/>
              </w:rPr>
            </w:pPr>
            <w:r w:rsidRPr="00CA1A2E">
              <w:rPr>
                <w:iCs/>
                <w:sz w:val="20"/>
                <w:szCs w:val="20"/>
              </w:rPr>
              <w:t>Sončno nabrežje 8 – Riva del Sole 8</w:t>
            </w:r>
          </w:p>
          <w:p w:rsidR="0053525C" w:rsidRPr="00CA1A2E" w:rsidRDefault="0053525C" w:rsidP="001D7386">
            <w:pPr>
              <w:rPr>
                <w:iCs/>
                <w:sz w:val="20"/>
                <w:szCs w:val="20"/>
              </w:rPr>
            </w:pPr>
            <w:r w:rsidRPr="00CA1A2E">
              <w:rPr>
                <w:iCs/>
                <w:sz w:val="20"/>
                <w:szCs w:val="20"/>
              </w:rPr>
              <w:t xml:space="preserve">6310 Izola – </w:t>
            </w:r>
            <w:proofErr w:type="spellStart"/>
            <w:r w:rsidRPr="00CA1A2E">
              <w:rPr>
                <w:iCs/>
                <w:sz w:val="20"/>
                <w:szCs w:val="20"/>
              </w:rPr>
              <w:t>Isola</w:t>
            </w:r>
            <w:proofErr w:type="spellEnd"/>
          </w:p>
          <w:p w:rsidR="0053525C" w:rsidRPr="00CA1A2E" w:rsidRDefault="0053525C" w:rsidP="001D7386">
            <w:pPr>
              <w:rPr>
                <w:iCs/>
                <w:sz w:val="20"/>
                <w:szCs w:val="20"/>
              </w:rPr>
            </w:pPr>
            <w:r w:rsidRPr="00CA1A2E">
              <w:rPr>
                <w:iCs/>
                <w:sz w:val="20"/>
                <w:szCs w:val="20"/>
              </w:rPr>
              <w:t>Tel: 05 66 00 100</w:t>
            </w:r>
          </w:p>
          <w:p w:rsidR="0053525C" w:rsidRPr="00CA1A2E" w:rsidRDefault="0053525C" w:rsidP="001D7386">
            <w:pPr>
              <w:rPr>
                <w:iCs/>
                <w:sz w:val="20"/>
                <w:szCs w:val="20"/>
              </w:rPr>
            </w:pPr>
            <w:r w:rsidRPr="00CA1A2E">
              <w:rPr>
                <w:iCs/>
                <w:sz w:val="20"/>
                <w:szCs w:val="20"/>
              </w:rPr>
              <w:t xml:space="preserve">E-mail: </w:t>
            </w:r>
            <w:hyperlink r:id="rId9" w:history="1">
              <w:r w:rsidRPr="00CA1A2E">
                <w:rPr>
                  <w:rStyle w:val="Hiperpovezava"/>
                  <w:iCs/>
                  <w:sz w:val="20"/>
                </w:rPr>
                <w:t>posta.oizola@izola.si</w:t>
              </w:r>
            </w:hyperlink>
          </w:p>
          <w:p w:rsidR="0053525C" w:rsidRPr="00CA1A2E" w:rsidRDefault="0053525C" w:rsidP="001D7386">
            <w:pPr>
              <w:jc w:val="both"/>
              <w:rPr>
                <w:i/>
                <w:iCs/>
                <w:sz w:val="20"/>
                <w:szCs w:val="20"/>
              </w:rPr>
            </w:pPr>
            <w:proofErr w:type="spellStart"/>
            <w:r w:rsidRPr="00CA1A2E">
              <w:rPr>
                <w:iCs/>
                <w:sz w:val="20"/>
                <w:szCs w:val="20"/>
              </w:rPr>
              <w:t>Web</w:t>
            </w:r>
            <w:proofErr w:type="spellEnd"/>
            <w:r w:rsidRPr="00CA1A2E">
              <w:rPr>
                <w:iCs/>
                <w:sz w:val="20"/>
                <w:szCs w:val="20"/>
              </w:rPr>
              <w:t xml:space="preserve">: </w:t>
            </w:r>
            <w:hyperlink r:id="rId10" w:history="1">
              <w:r w:rsidRPr="00CA1A2E">
                <w:rPr>
                  <w:rStyle w:val="Hiperpovezava"/>
                  <w:iCs/>
                  <w:sz w:val="20"/>
                </w:rPr>
                <w:t>http://www.izola.si/</w:t>
              </w:r>
            </w:hyperlink>
          </w:p>
        </w:tc>
      </w:tr>
    </w:tbl>
    <w:p w:rsidR="0053525C" w:rsidRPr="007759E7" w:rsidRDefault="0053525C" w:rsidP="0053525C">
      <w:pPr>
        <w:rPr>
          <w:sz w:val="23"/>
          <w:szCs w:val="23"/>
        </w:rPr>
      </w:pPr>
    </w:p>
    <w:p w:rsidR="0053525C" w:rsidRPr="00CF4F73" w:rsidRDefault="00C57A54" w:rsidP="0053525C">
      <w:pPr>
        <w:jc w:val="both"/>
      </w:pPr>
      <w:r w:rsidRPr="00CF4F73">
        <w:t xml:space="preserve">Številka:  </w:t>
      </w:r>
      <w:r w:rsidR="003053A2" w:rsidRPr="003053A2">
        <w:t>620-1/2016-31</w:t>
      </w:r>
    </w:p>
    <w:p w:rsidR="0053525C" w:rsidRPr="00CF4F73" w:rsidRDefault="0053525C" w:rsidP="0053525C">
      <w:pPr>
        <w:jc w:val="both"/>
      </w:pPr>
      <w:r w:rsidRPr="00FB0F0D">
        <w:t xml:space="preserve">Datum:    </w:t>
      </w:r>
      <w:r w:rsidR="002C7A6D">
        <w:t>2</w:t>
      </w:r>
      <w:r w:rsidR="00FB0F0D" w:rsidRPr="00FB0F0D">
        <w:t>. 1</w:t>
      </w:r>
      <w:r w:rsidR="002C7A6D">
        <w:t>1</w:t>
      </w:r>
      <w:r w:rsidR="00FB0F0D" w:rsidRPr="00FB0F0D">
        <w:t>. 2020</w:t>
      </w:r>
    </w:p>
    <w:p w:rsidR="0053525C" w:rsidRPr="00CF4F73" w:rsidRDefault="0053525C" w:rsidP="0053525C">
      <w:pPr>
        <w:jc w:val="both"/>
      </w:pPr>
    </w:p>
    <w:p w:rsidR="0053525C" w:rsidRPr="00CF4F73" w:rsidRDefault="0053525C" w:rsidP="0053525C">
      <w:pPr>
        <w:autoSpaceDE w:val="0"/>
        <w:autoSpaceDN w:val="0"/>
        <w:adjustRightInd w:val="0"/>
        <w:rPr>
          <w:b/>
          <w:bCs/>
          <w:color w:val="000000"/>
        </w:rPr>
      </w:pPr>
    </w:p>
    <w:p w:rsidR="0053525C" w:rsidRPr="00CF4F73" w:rsidRDefault="0053525C" w:rsidP="0053525C">
      <w:pPr>
        <w:autoSpaceDE w:val="0"/>
        <w:autoSpaceDN w:val="0"/>
        <w:adjustRightInd w:val="0"/>
        <w:rPr>
          <w:b/>
          <w:bCs/>
          <w:color w:val="000000"/>
        </w:rPr>
      </w:pPr>
      <w:r w:rsidRPr="00CF4F73">
        <w:rPr>
          <w:b/>
          <w:bCs/>
          <w:color w:val="000000"/>
        </w:rPr>
        <w:t>OBČINSKI SVET</w:t>
      </w:r>
    </w:p>
    <w:p w:rsidR="0053525C" w:rsidRPr="00CF4F73" w:rsidRDefault="0053525C" w:rsidP="0053525C">
      <w:pPr>
        <w:autoSpaceDE w:val="0"/>
        <w:autoSpaceDN w:val="0"/>
        <w:adjustRightInd w:val="0"/>
        <w:rPr>
          <w:color w:val="000000"/>
        </w:rPr>
      </w:pPr>
      <w:r w:rsidRPr="00CF4F73">
        <w:rPr>
          <w:b/>
          <w:bCs/>
          <w:color w:val="000000"/>
        </w:rPr>
        <w:t xml:space="preserve">OBČINA IZOLA – COMUNE DI ISOLA </w:t>
      </w:r>
    </w:p>
    <w:p w:rsidR="0053525C" w:rsidRPr="00CF4F73" w:rsidRDefault="0053525C" w:rsidP="0053525C">
      <w:pPr>
        <w:autoSpaceDE w:val="0"/>
        <w:autoSpaceDN w:val="0"/>
        <w:adjustRightInd w:val="0"/>
        <w:rPr>
          <w:b/>
          <w:bCs/>
          <w:color w:val="000000"/>
        </w:rPr>
      </w:pPr>
    </w:p>
    <w:p w:rsidR="0053525C" w:rsidRPr="00CF4F73" w:rsidRDefault="0053525C" w:rsidP="0053525C">
      <w:pPr>
        <w:autoSpaceDE w:val="0"/>
        <w:autoSpaceDN w:val="0"/>
        <w:adjustRightInd w:val="0"/>
        <w:rPr>
          <w:color w:val="000000"/>
        </w:rPr>
      </w:pPr>
      <w:r w:rsidRPr="00CF4F73">
        <w:rPr>
          <w:b/>
          <w:bCs/>
          <w:color w:val="000000"/>
        </w:rPr>
        <w:t xml:space="preserve"> </w:t>
      </w:r>
    </w:p>
    <w:p w:rsidR="0053525C" w:rsidRPr="00CF4F73" w:rsidRDefault="0053525C" w:rsidP="0053525C">
      <w:pPr>
        <w:autoSpaceDE w:val="0"/>
        <w:autoSpaceDN w:val="0"/>
        <w:adjustRightInd w:val="0"/>
        <w:rPr>
          <w:b/>
          <w:bCs/>
          <w:color w:val="000000"/>
        </w:rPr>
      </w:pPr>
    </w:p>
    <w:tbl>
      <w:tblPr>
        <w:tblW w:w="0" w:type="auto"/>
        <w:tblLook w:val="04A0" w:firstRow="1" w:lastRow="0" w:firstColumn="1" w:lastColumn="0" w:noHBand="0" w:noVBand="1"/>
      </w:tblPr>
      <w:tblGrid>
        <w:gridCol w:w="2787"/>
        <w:gridCol w:w="6285"/>
      </w:tblGrid>
      <w:tr w:rsidR="0053525C" w:rsidRPr="00CF4F73" w:rsidTr="001D7386">
        <w:tc>
          <w:tcPr>
            <w:tcW w:w="2802" w:type="dxa"/>
            <w:shd w:val="clear" w:color="auto" w:fill="auto"/>
          </w:tcPr>
          <w:p w:rsidR="0053525C" w:rsidRPr="00CF4F73" w:rsidRDefault="0053525C" w:rsidP="001D7386">
            <w:pPr>
              <w:autoSpaceDE w:val="0"/>
              <w:autoSpaceDN w:val="0"/>
              <w:adjustRightInd w:val="0"/>
              <w:rPr>
                <w:b/>
                <w:bCs/>
                <w:color w:val="000000"/>
              </w:rPr>
            </w:pPr>
            <w:r w:rsidRPr="00CF4F73">
              <w:rPr>
                <w:b/>
                <w:bCs/>
                <w:color w:val="000000"/>
              </w:rPr>
              <w:t>ZADEVA:</w:t>
            </w:r>
          </w:p>
        </w:tc>
        <w:tc>
          <w:tcPr>
            <w:tcW w:w="6416" w:type="dxa"/>
            <w:shd w:val="clear" w:color="auto" w:fill="auto"/>
          </w:tcPr>
          <w:p w:rsidR="0053525C" w:rsidRPr="00CF4F73" w:rsidRDefault="003053A2" w:rsidP="00086C18">
            <w:pPr>
              <w:jc w:val="both"/>
              <w:rPr>
                <w:b/>
                <w:color w:val="000000"/>
              </w:rPr>
            </w:pPr>
            <w:r>
              <w:rPr>
                <w:b/>
                <w:color w:val="000000"/>
              </w:rPr>
              <w:t>Potrditev kandidature</w:t>
            </w:r>
            <w:r w:rsidRPr="003053A2">
              <w:rPr>
                <w:b/>
                <w:color w:val="000000"/>
              </w:rPr>
              <w:t xml:space="preserve"> za Evropsko prestolnico kulture PI2025 v drugi fazi</w:t>
            </w:r>
          </w:p>
        </w:tc>
      </w:tr>
      <w:tr w:rsidR="0053525C" w:rsidRPr="00CF4F73" w:rsidTr="001D7386">
        <w:tc>
          <w:tcPr>
            <w:tcW w:w="2802" w:type="dxa"/>
            <w:shd w:val="clear" w:color="auto" w:fill="auto"/>
          </w:tcPr>
          <w:p w:rsidR="0053525C" w:rsidRPr="00CF4F73" w:rsidRDefault="0053525C" w:rsidP="001D7386">
            <w:pPr>
              <w:autoSpaceDE w:val="0"/>
              <w:autoSpaceDN w:val="0"/>
              <w:adjustRightInd w:val="0"/>
              <w:rPr>
                <w:b/>
                <w:bCs/>
                <w:color w:val="000000"/>
              </w:rPr>
            </w:pPr>
          </w:p>
        </w:tc>
        <w:tc>
          <w:tcPr>
            <w:tcW w:w="6416" w:type="dxa"/>
            <w:shd w:val="clear" w:color="auto" w:fill="auto"/>
          </w:tcPr>
          <w:p w:rsidR="0053525C" w:rsidRPr="00CF4F73" w:rsidRDefault="0053525C" w:rsidP="001D7386">
            <w:pPr>
              <w:jc w:val="both"/>
              <w:rPr>
                <w:bCs/>
                <w:color w:val="000000"/>
              </w:rPr>
            </w:pPr>
          </w:p>
        </w:tc>
      </w:tr>
      <w:tr w:rsidR="0053525C" w:rsidRPr="00CF4F73" w:rsidTr="001D7386">
        <w:tc>
          <w:tcPr>
            <w:tcW w:w="2802" w:type="dxa"/>
            <w:shd w:val="clear" w:color="auto" w:fill="auto"/>
          </w:tcPr>
          <w:p w:rsidR="0053525C" w:rsidRPr="006B4235" w:rsidRDefault="0053525C" w:rsidP="001D7386">
            <w:pPr>
              <w:autoSpaceDE w:val="0"/>
              <w:autoSpaceDN w:val="0"/>
              <w:adjustRightInd w:val="0"/>
              <w:rPr>
                <w:b/>
                <w:bCs/>
                <w:color w:val="000000"/>
              </w:rPr>
            </w:pPr>
            <w:r w:rsidRPr="006B4235">
              <w:rPr>
                <w:b/>
                <w:bCs/>
                <w:color w:val="000000"/>
              </w:rPr>
              <w:t>ZAKONSKA PODLAGA:</w:t>
            </w:r>
          </w:p>
        </w:tc>
        <w:tc>
          <w:tcPr>
            <w:tcW w:w="6416" w:type="dxa"/>
            <w:shd w:val="clear" w:color="auto" w:fill="auto"/>
          </w:tcPr>
          <w:p w:rsidR="00290925" w:rsidRPr="006B4235" w:rsidRDefault="00290925" w:rsidP="00290925">
            <w:pPr>
              <w:pStyle w:val="Naslov"/>
              <w:jc w:val="both"/>
              <w:rPr>
                <w:b w:val="0"/>
                <w:bCs/>
                <w:color w:val="000000"/>
                <w:sz w:val="24"/>
                <w:szCs w:val="24"/>
                <w:shd w:val="clear" w:color="auto" w:fill="FFFFFF"/>
                <w:lang w:val="sl-SI"/>
              </w:rPr>
            </w:pPr>
            <w:r w:rsidRPr="006B4235">
              <w:rPr>
                <w:b w:val="0"/>
                <w:bCs/>
                <w:color w:val="000000"/>
                <w:sz w:val="24"/>
                <w:szCs w:val="24"/>
                <w:shd w:val="clear" w:color="auto" w:fill="FFFFFF"/>
                <w:lang w:val="sl-SI"/>
              </w:rPr>
              <w:t xml:space="preserve">Zakon o uresničevanju javnega interesa za kulturo (Uradni list RS, št. 77/07 – uradno prečiščeno besedilo, 56/08, 4/10, 20/11, 111/13, 68/16, 61/17 in 21/18 – </w:t>
            </w:r>
            <w:proofErr w:type="spellStart"/>
            <w:r w:rsidRPr="006B4235">
              <w:rPr>
                <w:b w:val="0"/>
                <w:bCs/>
                <w:color w:val="000000"/>
                <w:sz w:val="24"/>
                <w:szCs w:val="24"/>
                <w:shd w:val="clear" w:color="auto" w:fill="FFFFFF"/>
                <w:lang w:val="sl-SI"/>
              </w:rPr>
              <w:t>ZNOrg</w:t>
            </w:r>
            <w:proofErr w:type="spellEnd"/>
            <w:r w:rsidRPr="006B4235">
              <w:rPr>
                <w:b w:val="0"/>
                <w:bCs/>
                <w:color w:val="000000"/>
                <w:sz w:val="24"/>
                <w:szCs w:val="24"/>
                <w:shd w:val="clear" w:color="auto" w:fill="FFFFFF"/>
                <w:lang w:val="sl-SI"/>
              </w:rPr>
              <w:t>)</w:t>
            </w:r>
            <w:r w:rsidR="00930DFC" w:rsidRPr="006B4235">
              <w:rPr>
                <w:b w:val="0"/>
                <w:bCs/>
                <w:color w:val="000000"/>
                <w:sz w:val="24"/>
                <w:szCs w:val="24"/>
                <w:shd w:val="clear" w:color="auto" w:fill="FFFFFF"/>
                <w:lang w:val="sl-SI"/>
              </w:rPr>
              <w:t xml:space="preserve"> </w:t>
            </w:r>
            <w:r w:rsidRPr="006B4235">
              <w:rPr>
                <w:b w:val="0"/>
                <w:bCs/>
                <w:color w:val="000000"/>
                <w:sz w:val="24"/>
                <w:szCs w:val="24"/>
                <w:shd w:val="clear" w:color="auto" w:fill="FFFFFF"/>
                <w:lang w:val="sl-SI"/>
              </w:rPr>
              <w:t>in</w:t>
            </w:r>
            <w:r w:rsidR="00CF4F73" w:rsidRPr="006B4235">
              <w:rPr>
                <w:b w:val="0"/>
                <w:bCs/>
                <w:color w:val="000000"/>
                <w:sz w:val="24"/>
                <w:szCs w:val="24"/>
                <w:shd w:val="clear" w:color="auto" w:fill="FFFFFF"/>
                <w:lang w:val="sl-SI"/>
              </w:rPr>
              <w:t xml:space="preserve"> 30. člen</w:t>
            </w:r>
            <w:r w:rsidR="0053525C" w:rsidRPr="006B4235">
              <w:rPr>
                <w:b w:val="0"/>
                <w:bCs/>
                <w:color w:val="000000"/>
                <w:sz w:val="24"/>
                <w:szCs w:val="24"/>
                <w:shd w:val="clear" w:color="auto" w:fill="FFFFFF"/>
                <w:lang w:val="sl-SI"/>
              </w:rPr>
              <w:t xml:space="preserve"> Statuta Občine Izola (Uradne objave Občine Izola, št. 5/18</w:t>
            </w:r>
            <w:r w:rsidR="000C6A27" w:rsidRPr="006B4235">
              <w:rPr>
                <w:b w:val="0"/>
                <w:bCs/>
                <w:color w:val="000000"/>
                <w:sz w:val="24"/>
                <w:szCs w:val="24"/>
                <w:shd w:val="clear" w:color="auto" w:fill="FFFFFF"/>
                <w:lang w:val="sl-SI"/>
              </w:rPr>
              <w:t xml:space="preserve"> – </w:t>
            </w:r>
            <w:r w:rsidR="0053525C" w:rsidRPr="006B4235">
              <w:rPr>
                <w:b w:val="0"/>
                <w:bCs/>
                <w:color w:val="000000"/>
                <w:sz w:val="24"/>
                <w:szCs w:val="24"/>
                <w:shd w:val="clear" w:color="auto" w:fill="FFFFFF"/>
                <w:lang w:val="sl-SI"/>
              </w:rPr>
              <w:t>uradno prečiščeno besedilo)</w:t>
            </w:r>
          </w:p>
          <w:p w:rsidR="00290925" w:rsidRPr="006B4235" w:rsidRDefault="00290925" w:rsidP="00290925">
            <w:pPr>
              <w:pStyle w:val="Podnaslov"/>
              <w:rPr>
                <w:lang w:eastAsia="x-none"/>
              </w:rPr>
            </w:pPr>
          </w:p>
        </w:tc>
      </w:tr>
      <w:tr w:rsidR="0053525C" w:rsidRPr="00CF4F73" w:rsidTr="001D7386">
        <w:tc>
          <w:tcPr>
            <w:tcW w:w="2802" w:type="dxa"/>
            <w:shd w:val="clear" w:color="auto" w:fill="auto"/>
          </w:tcPr>
          <w:p w:rsidR="0053525C" w:rsidRPr="00CF4F73" w:rsidRDefault="0053525C" w:rsidP="001D7386">
            <w:pPr>
              <w:autoSpaceDE w:val="0"/>
              <w:autoSpaceDN w:val="0"/>
              <w:adjustRightInd w:val="0"/>
              <w:rPr>
                <w:b/>
                <w:bCs/>
                <w:color w:val="000000"/>
              </w:rPr>
            </w:pPr>
          </w:p>
        </w:tc>
        <w:tc>
          <w:tcPr>
            <w:tcW w:w="6416" w:type="dxa"/>
            <w:shd w:val="clear" w:color="auto" w:fill="auto"/>
          </w:tcPr>
          <w:p w:rsidR="0053525C" w:rsidRPr="00CF4F73" w:rsidRDefault="0053525C" w:rsidP="00290925">
            <w:pPr>
              <w:pStyle w:val="Naslov"/>
              <w:jc w:val="left"/>
            </w:pPr>
          </w:p>
        </w:tc>
      </w:tr>
      <w:tr w:rsidR="0053525C" w:rsidRPr="00CF4F73" w:rsidTr="001D7386">
        <w:tc>
          <w:tcPr>
            <w:tcW w:w="2802" w:type="dxa"/>
            <w:shd w:val="clear" w:color="auto" w:fill="auto"/>
          </w:tcPr>
          <w:p w:rsidR="0053525C" w:rsidRPr="00CF4F73" w:rsidRDefault="0053525C" w:rsidP="001D7386">
            <w:pPr>
              <w:autoSpaceDE w:val="0"/>
              <w:autoSpaceDN w:val="0"/>
              <w:adjustRightInd w:val="0"/>
              <w:rPr>
                <w:b/>
                <w:bCs/>
                <w:color w:val="000000"/>
              </w:rPr>
            </w:pPr>
            <w:r w:rsidRPr="00CF4F73">
              <w:rPr>
                <w:b/>
                <w:bCs/>
                <w:color w:val="000000"/>
              </w:rPr>
              <w:t>PRIPRAVLJAVEC GRADIVA:</w:t>
            </w:r>
          </w:p>
        </w:tc>
        <w:tc>
          <w:tcPr>
            <w:tcW w:w="6416" w:type="dxa"/>
            <w:shd w:val="clear" w:color="auto" w:fill="auto"/>
          </w:tcPr>
          <w:p w:rsidR="0053525C" w:rsidRPr="00CF4F73" w:rsidRDefault="0053525C" w:rsidP="001D7386">
            <w:pPr>
              <w:pStyle w:val="Naslov"/>
              <w:jc w:val="left"/>
              <w:rPr>
                <w:b w:val="0"/>
                <w:bCs/>
                <w:color w:val="000000"/>
                <w:sz w:val="24"/>
                <w:szCs w:val="24"/>
                <w:shd w:val="clear" w:color="auto" w:fill="FFFFFF"/>
                <w:lang w:val="sl-SI"/>
              </w:rPr>
            </w:pPr>
            <w:r w:rsidRPr="00CF4F73">
              <w:rPr>
                <w:b w:val="0"/>
                <w:bCs/>
                <w:color w:val="000000"/>
                <w:sz w:val="24"/>
                <w:szCs w:val="24"/>
                <w:shd w:val="clear" w:color="auto" w:fill="FFFFFF"/>
                <w:lang w:val="sl-SI"/>
              </w:rPr>
              <w:t>URAD ZA DRUŽBENE DEJAVNOSTI</w:t>
            </w:r>
          </w:p>
          <w:p w:rsidR="0053525C" w:rsidRPr="00CF4F73" w:rsidRDefault="0053525C" w:rsidP="001D7386">
            <w:pPr>
              <w:pStyle w:val="Podnaslov"/>
              <w:rPr>
                <w:rFonts w:ascii="Times New Roman" w:hAnsi="Times New Roman"/>
                <w:lang w:eastAsia="x-none"/>
              </w:rPr>
            </w:pPr>
          </w:p>
        </w:tc>
      </w:tr>
    </w:tbl>
    <w:p w:rsidR="0053525C" w:rsidRPr="00CF4F73" w:rsidRDefault="0053525C" w:rsidP="0053525C">
      <w:pPr>
        <w:jc w:val="both"/>
      </w:pPr>
    </w:p>
    <w:p w:rsidR="0053525C" w:rsidRPr="00CF4F73" w:rsidRDefault="0053525C" w:rsidP="0053525C">
      <w:pPr>
        <w:jc w:val="both"/>
      </w:pPr>
    </w:p>
    <w:tbl>
      <w:tblPr>
        <w:tblW w:w="0" w:type="auto"/>
        <w:tblLook w:val="04A0" w:firstRow="1" w:lastRow="0" w:firstColumn="1" w:lastColumn="0" w:noHBand="0" w:noVBand="1"/>
      </w:tblPr>
      <w:tblGrid>
        <w:gridCol w:w="2647"/>
        <w:gridCol w:w="6425"/>
      </w:tblGrid>
      <w:tr w:rsidR="000C6A27" w:rsidRPr="00CF4F73" w:rsidTr="00BC0894">
        <w:tc>
          <w:tcPr>
            <w:tcW w:w="2660" w:type="dxa"/>
            <w:shd w:val="clear" w:color="auto" w:fill="auto"/>
          </w:tcPr>
          <w:p w:rsidR="000C6A27" w:rsidRPr="006B4235" w:rsidRDefault="000C6A27" w:rsidP="00BC0894">
            <w:pPr>
              <w:autoSpaceDE w:val="0"/>
              <w:autoSpaceDN w:val="0"/>
              <w:adjustRightInd w:val="0"/>
              <w:rPr>
                <w:b/>
                <w:bCs/>
                <w:color w:val="000000"/>
              </w:rPr>
            </w:pPr>
            <w:r w:rsidRPr="006B4235">
              <w:rPr>
                <w:b/>
                <w:bCs/>
                <w:color w:val="000000"/>
              </w:rPr>
              <w:t>POROČEVALEC:</w:t>
            </w:r>
          </w:p>
        </w:tc>
        <w:tc>
          <w:tcPr>
            <w:tcW w:w="6558" w:type="dxa"/>
            <w:shd w:val="clear" w:color="auto" w:fill="auto"/>
          </w:tcPr>
          <w:p w:rsidR="000C6A27" w:rsidRPr="006B4235" w:rsidRDefault="00086C18" w:rsidP="00BC0894">
            <w:r w:rsidRPr="006B4235">
              <w:t>Kristina Zelić, podsekretar – v</w:t>
            </w:r>
            <w:r w:rsidR="000C6A27" w:rsidRPr="006B4235">
              <w:t>odja UDD</w:t>
            </w:r>
          </w:p>
          <w:p w:rsidR="00C37808" w:rsidRPr="006B4235" w:rsidRDefault="00C37808" w:rsidP="00BC0894">
            <w:r w:rsidRPr="006B4235">
              <w:t>Martina Gamboz</w:t>
            </w:r>
            <w:r w:rsidR="006B4235" w:rsidRPr="006B4235">
              <w:t>, vodja projekta EPK PI2025</w:t>
            </w:r>
          </w:p>
          <w:p w:rsidR="000C6A27" w:rsidRPr="006B4235" w:rsidRDefault="000C6A27" w:rsidP="00BC0894">
            <w:pPr>
              <w:rPr>
                <w:color w:val="000000"/>
              </w:rPr>
            </w:pPr>
          </w:p>
        </w:tc>
      </w:tr>
    </w:tbl>
    <w:p w:rsidR="007759E7" w:rsidRPr="00963CD7" w:rsidRDefault="007759E7" w:rsidP="0053525C">
      <w:pPr>
        <w:jc w:val="both"/>
      </w:pPr>
    </w:p>
    <w:p w:rsidR="00963CD7" w:rsidRPr="00963CD7" w:rsidRDefault="00963CD7" w:rsidP="0053525C">
      <w:pPr>
        <w:jc w:val="both"/>
      </w:pPr>
    </w:p>
    <w:p w:rsidR="00963CD7" w:rsidRPr="00963CD7" w:rsidRDefault="00963CD7" w:rsidP="0053525C">
      <w:pPr>
        <w:jc w:val="both"/>
      </w:pPr>
    </w:p>
    <w:p w:rsidR="00963CD7" w:rsidRPr="00963CD7" w:rsidRDefault="00963CD7" w:rsidP="0053525C">
      <w:pPr>
        <w:jc w:val="both"/>
      </w:pPr>
    </w:p>
    <w:p w:rsidR="007759E7" w:rsidRPr="00963CD7" w:rsidRDefault="007759E7" w:rsidP="0053525C">
      <w:pPr>
        <w:jc w:val="both"/>
      </w:pPr>
    </w:p>
    <w:p w:rsidR="00963CD7" w:rsidRPr="00963CD7" w:rsidRDefault="00963CD7" w:rsidP="00963CD7">
      <w:pPr>
        <w:jc w:val="both"/>
      </w:pPr>
      <w:r w:rsidRPr="00963CD7">
        <w:t xml:space="preserve">PREDLOG SKLEPA: </w:t>
      </w:r>
    </w:p>
    <w:p w:rsidR="00963CD7" w:rsidRPr="00963CD7" w:rsidRDefault="00963CD7" w:rsidP="00963CD7">
      <w:pPr>
        <w:jc w:val="both"/>
      </w:pPr>
    </w:p>
    <w:p w:rsidR="00963CD7" w:rsidRPr="00963CD7" w:rsidRDefault="00963CD7" w:rsidP="00963CD7">
      <w:pPr>
        <w:jc w:val="both"/>
        <w:rPr>
          <w:b/>
        </w:rPr>
      </w:pPr>
      <w:r w:rsidRPr="00B847A8">
        <w:rPr>
          <w:b/>
        </w:rPr>
        <w:t xml:space="preserve">Občinski svet Občine Izola </w:t>
      </w:r>
      <w:r w:rsidR="006B4235">
        <w:rPr>
          <w:b/>
        </w:rPr>
        <w:t>potrjuje</w:t>
      </w:r>
      <w:r w:rsidR="002C7A6D">
        <w:rPr>
          <w:b/>
        </w:rPr>
        <w:t xml:space="preserve"> </w:t>
      </w:r>
      <w:r w:rsidR="003053A2">
        <w:rPr>
          <w:b/>
        </w:rPr>
        <w:t>kandidaturo</w:t>
      </w:r>
      <w:r w:rsidR="003053A2" w:rsidRPr="003053A2">
        <w:rPr>
          <w:b/>
        </w:rPr>
        <w:t xml:space="preserve"> za Evropsko prestolnico kulture PI2025 v drugi fazi</w:t>
      </w:r>
      <w:r w:rsidR="003053A2">
        <w:rPr>
          <w:b/>
        </w:rPr>
        <w:t>.</w:t>
      </w:r>
    </w:p>
    <w:p w:rsidR="00290925" w:rsidRDefault="00290925" w:rsidP="0053525C">
      <w:pPr>
        <w:jc w:val="both"/>
      </w:pPr>
    </w:p>
    <w:p w:rsidR="002C7A6D" w:rsidRDefault="002C7A6D" w:rsidP="0053525C">
      <w:pPr>
        <w:jc w:val="both"/>
      </w:pPr>
    </w:p>
    <w:p w:rsidR="000E6CF7" w:rsidRPr="00CF4F73" w:rsidRDefault="000E6CF7" w:rsidP="0053525C">
      <w:pPr>
        <w:jc w:val="both"/>
      </w:pPr>
    </w:p>
    <w:p w:rsidR="007759E7" w:rsidRPr="00CF4F73" w:rsidRDefault="007759E7" w:rsidP="0053525C">
      <w:pPr>
        <w:jc w:val="both"/>
      </w:pPr>
    </w:p>
    <w:p w:rsidR="0053525C" w:rsidRPr="00CF4F73" w:rsidRDefault="0053525C" w:rsidP="0053525C">
      <w:pPr>
        <w:autoSpaceDE w:val="0"/>
        <w:autoSpaceDN w:val="0"/>
        <w:adjustRightInd w:val="0"/>
        <w:jc w:val="both"/>
        <w:rPr>
          <w:b/>
          <w:bCs/>
          <w:color w:val="000000"/>
        </w:rPr>
      </w:pPr>
      <w:r w:rsidRPr="00CF4F73">
        <w:rPr>
          <w:b/>
          <w:bCs/>
          <w:color w:val="000000"/>
        </w:rPr>
        <w:t>Priloge:</w:t>
      </w:r>
    </w:p>
    <w:p w:rsidR="0053525C" w:rsidRPr="00CF4F73" w:rsidRDefault="002D3CF0" w:rsidP="003053A2">
      <w:pPr>
        <w:numPr>
          <w:ilvl w:val="0"/>
          <w:numId w:val="2"/>
        </w:numPr>
        <w:autoSpaceDE w:val="0"/>
        <w:autoSpaceDN w:val="0"/>
        <w:adjustRightInd w:val="0"/>
        <w:jc w:val="both"/>
        <w:rPr>
          <w:bCs/>
          <w:color w:val="000000"/>
        </w:rPr>
      </w:pPr>
      <w:r w:rsidRPr="00CF4F73">
        <w:rPr>
          <w:bCs/>
          <w:color w:val="000000"/>
        </w:rPr>
        <w:t>Obrazložitev</w:t>
      </w:r>
      <w:r w:rsidR="003053A2" w:rsidRPr="003053A2">
        <w:t xml:space="preserve"> </w:t>
      </w:r>
      <w:r w:rsidR="003053A2" w:rsidRPr="003053A2">
        <w:rPr>
          <w:bCs/>
          <w:color w:val="000000"/>
        </w:rPr>
        <w:t>kandidatur</w:t>
      </w:r>
      <w:r w:rsidR="003053A2">
        <w:rPr>
          <w:bCs/>
          <w:color w:val="000000"/>
        </w:rPr>
        <w:t>e</w:t>
      </w:r>
      <w:r w:rsidR="003053A2" w:rsidRPr="003053A2">
        <w:rPr>
          <w:bCs/>
          <w:color w:val="000000"/>
        </w:rPr>
        <w:t xml:space="preserve"> za Evropsko prestolnico kulture PI2025 </w:t>
      </w:r>
      <w:r w:rsidR="00963CD7">
        <w:rPr>
          <w:bCs/>
          <w:color w:val="000000"/>
        </w:rPr>
        <w:t xml:space="preserve"> </w:t>
      </w:r>
      <w:r w:rsidR="0053525C" w:rsidRPr="00CF4F73">
        <w:rPr>
          <w:bCs/>
          <w:color w:val="000000"/>
        </w:rPr>
        <w:t xml:space="preserve">– priloga I </w:t>
      </w:r>
    </w:p>
    <w:p w:rsidR="009A61C1" w:rsidRPr="00CF4F73" w:rsidRDefault="009A61C1" w:rsidP="009A61C1">
      <w:pPr>
        <w:numPr>
          <w:ilvl w:val="0"/>
          <w:numId w:val="2"/>
        </w:numPr>
        <w:autoSpaceDE w:val="0"/>
        <w:autoSpaceDN w:val="0"/>
        <w:adjustRightInd w:val="0"/>
        <w:jc w:val="both"/>
        <w:rPr>
          <w:bCs/>
          <w:color w:val="000000"/>
        </w:rPr>
      </w:pPr>
      <w:r>
        <w:rPr>
          <w:bCs/>
          <w:color w:val="000000"/>
        </w:rPr>
        <w:t xml:space="preserve">Predlog </w:t>
      </w:r>
      <w:r w:rsidR="00963CD7">
        <w:rPr>
          <w:bCs/>
          <w:color w:val="000000"/>
        </w:rPr>
        <w:t>sklepa</w:t>
      </w:r>
      <w:r>
        <w:rPr>
          <w:bCs/>
          <w:color w:val="000000"/>
        </w:rPr>
        <w:t xml:space="preserve"> – priloga II</w:t>
      </w:r>
    </w:p>
    <w:p w:rsidR="0053525C" w:rsidRPr="002C7A6D" w:rsidRDefault="003E7C91" w:rsidP="0053525C">
      <w:pPr>
        <w:jc w:val="right"/>
        <w:rPr>
          <w:b/>
          <w:sz w:val="23"/>
          <w:szCs w:val="23"/>
        </w:rPr>
      </w:pPr>
      <w:r w:rsidRPr="002C7A6D">
        <w:rPr>
          <w:b/>
          <w:sz w:val="23"/>
          <w:szCs w:val="23"/>
        </w:rPr>
        <w:lastRenderedPageBreak/>
        <w:t xml:space="preserve">PRILOGA </w:t>
      </w:r>
      <w:r w:rsidR="0053525C" w:rsidRPr="002C7A6D">
        <w:rPr>
          <w:b/>
          <w:sz w:val="23"/>
          <w:szCs w:val="23"/>
        </w:rPr>
        <w:t>I.</w:t>
      </w:r>
    </w:p>
    <w:p w:rsidR="0053525C" w:rsidRPr="002C7A6D" w:rsidRDefault="0053525C" w:rsidP="0010710F">
      <w:pPr>
        <w:jc w:val="both"/>
        <w:rPr>
          <w:b/>
          <w:sz w:val="23"/>
          <w:szCs w:val="23"/>
        </w:rPr>
      </w:pPr>
      <w:r w:rsidRPr="002C7A6D">
        <w:rPr>
          <w:b/>
          <w:sz w:val="23"/>
          <w:szCs w:val="23"/>
        </w:rPr>
        <w:t>Obrazložitev</w:t>
      </w:r>
      <w:r w:rsidR="003053A2">
        <w:rPr>
          <w:b/>
          <w:sz w:val="23"/>
          <w:szCs w:val="23"/>
        </w:rPr>
        <w:t xml:space="preserve"> </w:t>
      </w:r>
      <w:r w:rsidR="003053A2" w:rsidRPr="003053A2">
        <w:rPr>
          <w:b/>
          <w:sz w:val="23"/>
          <w:szCs w:val="23"/>
        </w:rPr>
        <w:t xml:space="preserve">kandidature za Evropsko prestolnico kulture PI2025  </w:t>
      </w:r>
    </w:p>
    <w:p w:rsidR="00250A1C" w:rsidRPr="002C7A6D" w:rsidRDefault="00250A1C" w:rsidP="0053525C">
      <w:pPr>
        <w:pStyle w:val="Telobesedila2"/>
        <w:rPr>
          <w:color w:val="000000"/>
          <w:sz w:val="23"/>
          <w:szCs w:val="23"/>
        </w:rPr>
      </w:pPr>
    </w:p>
    <w:p w:rsidR="00C12524" w:rsidRPr="00C12524" w:rsidRDefault="00C12524" w:rsidP="00C12524">
      <w:pPr>
        <w:jc w:val="both"/>
        <w:rPr>
          <w:color w:val="000000"/>
        </w:rPr>
      </w:pPr>
      <w:r w:rsidRPr="00C12524">
        <w:t>Evropska prestolnica kulture</w:t>
      </w:r>
      <w:r w:rsidRPr="00E1658B">
        <w:t xml:space="preserve"> </w:t>
      </w:r>
      <w:r>
        <w:t xml:space="preserve">(EPK) </w:t>
      </w:r>
      <w:r w:rsidRPr="00E1658B">
        <w:t>je pobuda Evropske unije na področju kulture, v okviru katere dve izbrani mesti iz držav članic vsako leto prejmeta ta prestižni naziv.</w:t>
      </w:r>
      <w:r>
        <w:t xml:space="preserve"> </w:t>
      </w:r>
      <w:r w:rsidRPr="00E1658B">
        <w:rPr>
          <w:color w:val="000000"/>
        </w:rPr>
        <w:t>Izbrana mesta imajo v tem letu izjemno priložnost, da širšemu evropskemu občinstvu predstavijo svoj umetniški in kulturni program ter usmerijo pozornost Evrope v svojo regijo in kulturno ponudbo države.</w:t>
      </w:r>
      <w:r>
        <w:rPr>
          <w:color w:val="000000"/>
        </w:rPr>
        <w:t xml:space="preserve"> </w:t>
      </w:r>
      <w:r w:rsidRPr="00E1658B">
        <w:rPr>
          <w:color w:val="000000"/>
        </w:rPr>
        <w:t xml:space="preserve">Leta 2025 bosta naziv EPK 2025 dobili dve mesti, eno iz Slovenije in eno iz Nemčije. Člani mednarodnega strokovnega sveta so </w:t>
      </w:r>
      <w:r>
        <w:rPr>
          <w:color w:val="000000"/>
        </w:rPr>
        <w:t xml:space="preserve">v prvi fazi kandidature </w:t>
      </w:r>
      <w:r w:rsidRPr="00E1658B">
        <w:rPr>
          <w:color w:val="000000"/>
        </w:rPr>
        <w:t xml:space="preserve">ocenjevali kandidature na podlagi prijavnih knjig in predstavitev mest. Naša prijava jih je prepričala, zato je Piran </w:t>
      </w:r>
      <w:r>
        <w:rPr>
          <w:color w:val="000000"/>
        </w:rPr>
        <w:t xml:space="preserve">s sosednjimi občinami </w:t>
      </w:r>
      <w:r w:rsidRPr="00E1658B">
        <w:rPr>
          <w:color w:val="000000"/>
        </w:rPr>
        <w:t>postal eno izmed štirih slovenskih mest, ki so se 27. 2. 2020 uvrstila v drugi krog kandidacijskega postopka. Vsako izmed mest, ki kandidirajo za naziv EPK, je dobilo priporočila strokovnega sveta, kako lahko</w:t>
      </w:r>
      <w:r>
        <w:rPr>
          <w:color w:val="000000"/>
        </w:rPr>
        <w:t xml:space="preserve"> v drugi fazi</w:t>
      </w:r>
      <w:r w:rsidRPr="00E1658B">
        <w:rPr>
          <w:color w:val="000000"/>
        </w:rPr>
        <w:t xml:space="preserve"> izboljša in dopolni svojo kandidaturo.</w:t>
      </w:r>
    </w:p>
    <w:p w:rsidR="00C12524" w:rsidRDefault="00C12524" w:rsidP="006B4235">
      <w:pPr>
        <w:shd w:val="clear" w:color="auto" w:fill="FFFFFF"/>
        <w:jc w:val="both"/>
        <w:rPr>
          <w:bCs/>
        </w:rPr>
      </w:pPr>
    </w:p>
    <w:p w:rsidR="006B4235" w:rsidRPr="00C12524" w:rsidRDefault="000E6CF7" w:rsidP="00C12524">
      <w:pPr>
        <w:jc w:val="both"/>
        <w:rPr>
          <w:b/>
        </w:rPr>
      </w:pPr>
      <w:r w:rsidRPr="000E6CF7">
        <w:rPr>
          <w:bCs/>
        </w:rPr>
        <w:t>Prijava Pirana, Izole, Kopra in Ankarana za Evropsko prestolnico kulture 2025</w:t>
      </w:r>
      <w:r w:rsidR="006B4235">
        <w:rPr>
          <w:bCs/>
        </w:rPr>
        <w:t xml:space="preserve"> nosi naslov</w:t>
      </w:r>
      <w:r w:rsidR="006B4235" w:rsidRPr="006B4235">
        <w:t xml:space="preserve"> </w:t>
      </w:r>
      <w:r w:rsidR="006B4235">
        <w:t>»</w:t>
      </w:r>
      <w:r w:rsidR="006B4235" w:rsidRPr="006B4235">
        <w:t>Val sprememb</w:t>
      </w:r>
      <w:r w:rsidR="00C12524">
        <w:t xml:space="preserve">«. </w:t>
      </w:r>
      <w:r w:rsidR="00C12524" w:rsidRPr="00E1658B">
        <w:t>Kratki, a pomenljivi slogan našega projekta poziva k temu, da bi s pomočjo umetnosti in kulture sprožili močan Val sprememb. Prepričani smo, da ga (že dolgo) potrebujemo, in zdaj je prava priložnost, da ga spodbudimo in da nas poveže: med sabo in z naravo.</w:t>
      </w:r>
    </w:p>
    <w:p w:rsidR="000E6CF7" w:rsidRPr="000E6CF7" w:rsidRDefault="000E6CF7" w:rsidP="006B4235">
      <w:pPr>
        <w:shd w:val="clear" w:color="auto" w:fill="FFFFFF"/>
        <w:jc w:val="both"/>
        <w:rPr>
          <w:b/>
          <w:u w:val="single"/>
        </w:rPr>
      </w:pPr>
    </w:p>
    <w:p w:rsidR="000E6CF7" w:rsidRPr="000E6CF7" w:rsidRDefault="000E6CF7" w:rsidP="006B4235">
      <w:pPr>
        <w:shd w:val="clear" w:color="auto" w:fill="FFFFFF"/>
        <w:jc w:val="both"/>
        <w:rPr>
          <w:b/>
          <w:u w:val="single"/>
        </w:rPr>
      </w:pPr>
      <w:r w:rsidRPr="000E6CF7">
        <w:rPr>
          <w:b/>
          <w:u w:val="single"/>
        </w:rPr>
        <w:t>VSEBINSKI NAČRT</w:t>
      </w:r>
    </w:p>
    <w:p w:rsidR="000E6CF7" w:rsidRPr="000E6CF7" w:rsidRDefault="000E6CF7" w:rsidP="006B4235">
      <w:pPr>
        <w:shd w:val="clear" w:color="auto" w:fill="FFFFFF"/>
        <w:jc w:val="both"/>
        <w:rPr>
          <w:bCs/>
        </w:rPr>
      </w:pPr>
      <w:r w:rsidRPr="000E6CF7">
        <w:rPr>
          <w:bCs/>
        </w:rPr>
        <w:t>Program PI2025 sestavlja 57 programskih predlogov, razdeljenih v 4 platforme:</w:t>
      </w:r>
    </w:p>
    <w:p w:rsidR="000E6CF7" w:rsidRPr="000E6CF7" w:rsidRDefault="000E6CF7" w:rsidP="006B4235">
      <w:pPr>
        <w:numPr>
          <w:ilvl w:val="0"/>
          <w:numId w:val="27"/>
        </w:numPr>
        <w:shd w:val="clear" w:color="auto" w:fill="FFFFFF"/>
        <w:suppressAutoHyphens/>
        <w:jc w:val="both"/>
        <w:rPr>
          <w:bCs/>
        </w:rPr>
      </w:pPr>
      <w:r w:rsidRPr="000E6CF7">
        <w:rPr>
          <w:bCs/>
        </w:rPr>
        <w:t>Kulturna ambasada za klimatsko krizo</w:t>
      </w:r>
    </w:p>
    <w:p w:rsidR="000E6CF7" w:rsidRPr="000E6CF7" w:rsidRDefault="000E6CF7" w:rsidP="006B4235">
      <w:pPr>
        <w:numPr>
          <w:ilvl w:val="0"/>
          <w:numId w:val="27"/>
        </w:numPr>
        <w:shd w:val="clear" w:color="auto" w:fill="FFFFFF"/>
        <w:suppressAutoHyphens/>
        <w:jc w:val="both"/>
        <w:rPr>
          <w:bCs/>
        </w:rPr>
      </w:pPr>
      <w:r w:rsidRPr="000E6CF7">
        <w:rPr>
          <w:bCs/>
        </w:rPr>
        <w:t>Izgubljeno in najdeno</w:t>
      </w:r>
    </w:p>
    <w:p w:rsidR="000E6CF7" w:rsidRPr="000E6CF7" w:rsidRDefault="000E6CF7" w:rsidP="006B4235">
      <w:pPr>
        <w:numPr>
          <w:ilvl w:val="0"/>
          <w:numId w:val="27"/>
        </w:numPr>
        <w:shd w:val="clear" w:color="auto" w:fill="FFFFFF"/>
        <w:suppressAutoHyphens/>
        <w:jc w:val="both"/>
        <w:rPr>
          <w:bCs/>
        </w:rPr>
      </w:pPr>
      <w:r w:rsidRPr="000E6CF7">
        <w:rPr>
          <w:bCs/>
        </w:rPr>
        <w:t>Povezovati in skrbeti</w:t>
      </w:r>
    </w:p>
    <w:p w:rsidR="000E6CF7" w:rsidRPr="000E6CF7" w:rsidRDefault="000E6CF7" w:rsidP="006B4235">
      <w:pPr>
        <w:numPr>
          <w:ilvl w:val="0"/>
          <w:numId w:val="27"/>
        </w:numPr>
        <w:shd w:val="clear" w:color="auto" w:fill="FFFFFF"/>
        <w:suppressAutoHyphens/>
        <w:jc w:val="both"/>
        <w:rPr>
          <w:bCs/>
        </w:rPr>
      </w:pPr>
      <w:r w:rsidRPr="000E6CF7">
        <w:rPr>
          <w:bCs/>
        </w:rPr>
        <w:t>Sol in morje</w:t>
      </w:r>
    </w:p>
    <w:p w:rsidR="000E6CF7" w:rsidRPr="000E6CF7" w:rsidRDefault="000E6CF7" w:rsidP="006B4235">
      <w:pPr>
        <w:shd w:val="clear" w:color="auto" w:fill="FFFFFF"/>
        <w:jc w:val="both"/>
        <w:rPr>
          <w:bCs/>
        </w:rPr>
      </w:pPr>
    </w:p>
    <w:p w:rsidR="000E6CF7" w:rsidRPr="000E6CF7" w:rsidRDefault="000E6CF7" w:rsidP="000E6CF7">
      <w:pPr>
        <w:shd w:val="clear" w:color="auto" w:fill="FFFFFF"/>
        <w:jc w:val="both"/>
        <w:rPr>
          <w:bCs/>
        </w:rPr>
      </w:pPr>
      <w:r w:rsidRPr="000E6CF7">
        <w:rPr>
          <w:bCs/>
        </w:rPr>
        <w:t>Zaradi postopkov razpisa in z njim povezanega tekmovanja v nadaljevanju izpostavimo zgolj najbolj relevant</w:t>
      </w:r>
      <w:r w:rsidR="006B4235">
        <w:rPr>
          <w:bCs/>
        </w:rPr>
        <w:t>n</w:t>
      </w:r>
      <w:r w:rsidRPr="000E6CF7">
        <w:rPr>
          <w:bCs/>
        </w:rPr>
        <w:t>e projekte v smislu reprezentativnosti heterogenosti programa.</w:t>
      </w:r>
    </w:p>
    <w:p w:rsidR="000E6CF7" w:rsidRPr="000E6CF7" w:rsidRDefault="000E6CF7" w:rsidP="000E6CF7">
      <w:pPr>
        <w:shd w:val="clear" w:color="auto" w:fill="FFFFFF"/>
        <w:jc w:val="both"/>
        <w:rPr>
          <w:b/>
          <w:u w:val="single"/>
        </w:rPr>
      </w:pPr>
    </w:p>
    <w:p w:rsidR="000E6CF7" w:rsidRPr="000E6CF7" w:rsidRDefault="000E6CF7" w:rsidP="000E6CF7">
      <w:pPr>
        <w:shd w:val="clear" w:color="auto" w:fill="FFFFFF"/>
        <w:jc w:val="both"/>
        <w:rPr>
          <w:b/>
          <w:u w:val="single"/>
        </w:rPr>
      </w:pPr>
      <w:proofErr w:type="spellStart"/>
      <w:r w:rsidRPr="000E6CF7">
        <w:rPr>
          <w:b/>
          <w:u w:val="single"/>
        </w:rPr>
        <w:t>The</w:t>
      </w:r>
      <w:proofErr w:type="spellEnd"/>
      <w:r w:rsidRPr="000E6CF7">
        <w:rPr>
          <w:b/>
          <w:u w:val="single"/>
        </w:rPr>
        <w:t xml:space="preserve"> </w:t>
      </w:r>
      <w:proofErr w:type="spellStart"/>
      <w:r w:rsidRPr="000E6CF7">
        <w:rPr>
          <w:b/>
          <w:u w:val="single"/>
        </w:rPr>
        <w:t>Wave@Monfort</w:t>
      </w:r>
      <w:proofErr w:type="spellEnd"/>
    </w:p>
    <w:p w:rsidR="000E6CF7" w:rsidRPr="000E6CF7" w:rsidRDefault="000E6CF7" w:rsidP="000E6CF7">
      <w:pPr>
        <w:shd w:val="clear" w:color="auto" w:fill="FFFFFF"/>
        <w:jc w:val="both"/>
      </w:pPr>
    </w:p>
    <w:p w:rsidR="000E6CF7" w:rsidRPr="000E6CF7" w:rsidRDefault="000E6CF7" w:rsidP="000E6CF7">
      <w:pPr>
        <w:shd w:val="clear" w:color="auto" w:fill="FFFFFF"/>
        <w:jc w:val="both"/>
      </w:pPr>
      <w:proofErr w:type="spellStart"/>
      <w:r w:rsidRPr="000E6CF7">
        <w:t>Imerzivni</w:t>
      </w:r>
      <w:proofErr w:type="spellEnd"/>
      <w:r w:rsidRPr="000E6CF7">
        <w:t xml:space="preserve"> (</w:t>
      </w:r>
      <w:proofErr w:type="spellStart"/>
      <w:r w:rsidRPr="000E6CF7">
        <w:t>potopitveni</w:t>
      </w:r>
      <w:proofErr w:type="spellEnd"/>
      <w:r w:rsidRPr="000E6CF7">
        <w:t xml:space="preserve">) </w:t>
      </w:r>
      <w:proofErr w:type="spellStart"/>
      <w:r w:rsidRPr="000E6CF7">
        <w:t>novomedijski</w:t>
      </w:r>
      <w:proofErr w:type="spellEnd"/>
      <w:r w:rsidRPr="000E6CF7">
        <w:t xml:space="preserve"> center </w:t>
      </w:r>
      <w:proofErr w:type="spellStart"/>
      <w:r w:rsidRPr="000E6CF7">
        <w:rPr>
          <w:i/>
        </w:rPr>
        <w:t>The</w:t>
      </w:r>
      <w:proofErr w:type="spellEnd"/>
      <w:r w:rsidRPr="000E6CF7">
        <w:rPr>
          <w:i/>
        </w:rPr>
        <w:t xml:space="preserve"> </w:t>
      </w:r>
      <w:proofErr w:type="spellStart"/>
      <w:r w:rsidRPr="000E6CF7">
        <w:rPr>
          <w:i/>
        </w:rPr>
        <w:t>Wave</w:t>
      </w:r>
      <w:proofErr w:type="spellEnd"/>
      <w:r w:rsidRPr="000E6CF7">
        <w:t xml:space="preserve"> bo imel sedež v nekdanjem skladišču soli </w:t>
      </w:r>
      <w:proofErr w:type="spellStart"/>
      <w:r w:rsidRPr="000E6CF7">
        <w:t>Monfort</w:t>
      </w:r>
      <w:proofErr w:type="spellEnd"/>
      <w:r w:rsidRPr="000E6CF7">
        <w:t xml:space="preserve"> in bo deloval kot produkcijsko središče, ki bo omogočalo razstave, projekcije in </w:t>
      </w:r>
      <w:proofErr w:type="spellStart"/>
      <w:r w:rsidRPr="000E6CF7">
        <w:t>performanse</w:t>
      </w:r>
      <w:proofErr w:type="spellEnd"/>
      <w:r w:rsidRPr="000E6CF7">
        <w:t>, obenem pa kot tehnološko središče za različne umetniške dejavnosti na prostem. Center bo modularen, mobilen in prilagodljiv in kot tak v uporabi za izvedbo orkestriranih gverilskih umetniških intervencij večjega obsega (</w:t>
      </w:r>
      <w:proofErr w:type="spellStart"/>
      <w:r w:rsidRPr="000E6CF7">
        <w:t>okoljski</w:t>
      </w:r>
      <w:proofErr w:type="spellEnd"/>
      <w:r w:rsidRPr="000E6CF7">
        <w:t xml:space="preserve"> umetniški aktivizem, laserske projekcije na industrijsko infrastrukturo, spomenike, mestne zgradbe, naravne artefakte), velikih in majhnih instalacij in </w:t>
      </w:r>
      <w:proofErr w:type="spellStart"/>
      <w:r w:rsidRPr="000E6CF7">
        <w:t>per</w:t>
      </w:r>
      <w:r w:rsidR="006B4235">
        <w:t>formansov</w:t>
      </w:r>
      <w:proofErr w:type="spellEnd"/>
      <w:r w:rsidR="006B4235">
        <w:t xml:space="preserve"> ter za </w:t>
      </w:r>
      <w:proofErr w:type="spellStart"/>
      <w:r w:rsidR="006B4235">
        <w:t>gostiteljstvo</w:t>
      </w:r>
      <w:proofErr w:type="spellEnd"/>
      <w:r w:rsidR="006B4235">
        <w:t xml:space="preserve"> »Mobilnega </w:t>
      </w:r>
      <w:proofErr w:type="spellStart"/>
      <w:r w:rsidR="006B4235">
        <w:t>Monforta</w:t>
      </w:r>
      <w:proofErr w:type="spellEnd"/>
      <w:r w:rsidR="006B4235">
        <w:t>«</w:t>
      </w:r>
      <w:r w:rsidRPr="000E6CF7">
        <w:t xml:space="preserve"> na različnih festivalih, ki niso </w:t>
      </w:r>
      <w:proofErr w:type="spellStart"/>
      <w:r w:rsidRPr="000E6CF7">
        <w:t>novomedijski</w:t>
      </w:r>
      <w:proofErr w:type="spellEnd"/>
      <w:r w:rsidRPr="000E6CF7">
        <w:t xml:space="preserve">, na primer festivalih klasične, </w:t>
      </w:r>
      <w:proofErr w:type="spellStart"/>
      <w:r w:rsidRPr="000E6CF7">
        <w:t>etno</w:t>
      </w:r>
      <w:proofErr w:type="spellEnd"/>
      <w:r w:rsidRPr="000E6CF7">
        <w:t xml:space="preserve"> in </w:t>
      </w:r>
      <w:proofErr w:type="spellStart"/>
      <w:r w:rsidRPr="000E6CF7">
        <w:t>težkometalne</w:t>
      </w:r>
      <w:proofErr w:type="spellEnd"/>
      <w:r w:rsidRPr="000E6CF7">
        <w:t xml:space="preserve"> glasbe. </w:t>
      </w:r>
    </w:p>
    <w:p w:rsidR="000E6CF7" w:rsidRPr="000E6CF7" w:rsidRDefault="000E6CF7" w:rsidP="000E6CF7">
      <w:pPr>
        <w:shd w:val="clear" w:color="auto" w:fill="FFFFFF"/>
        <w:jc w:val="both"/>
      </w:pPr>
    </w:p>
    <w:p w:rsidR="000E6CF7" w:rsidRPr="000E6CF7" w:rsidRDefault="000E6CF7" w:rsidP="000E6CF7">
      <w:pPr>
        <w:shd w:val="clear" w:color="auto" w:fill="FFFFFF"/>
        <w:jc w:val="both"/>
      </w:pPr>
      <w:r w:rsidRPr="000E6CF7">
        <w:t xml:space="preserve">Lokacija: </w:t>
      </w:r>
      <w:proofErr w:type="spellStart"/>
      <w:r w:rsidRPr="000E6CF7">
        <w:t>Monfort</w:t>
      </w:r>
      <w:proofErr w:type="spellEnd"/>
      <w:r w:rsidRPr="000E6CF7">
        <w:t xml:space="preserve"> in splet</w:t>
      </w:r>
    </w:p>
    <w:p w:rsidR="000E6CF7" w:rsidRPr="000E6CF7" w:rsidRDefault="000E6CF7" w:rsidP="000E6CF7">
      <w:pPr>
        <w:shd w:val="clear" w:color="auto" w:fill="FFFFFF"/>
        <w:jc w:val="both"/>
      </w:pPr>
      <w:r w:rsidRPr="000E6CF7">
        <w:t>Občinstvo: novo kulturno občinstvo</w:t>
      </w:r>
    </w:p>
    <w:p w:rsidR="000E6CF7" w:rsidRPr="000E6CF7" w:rsidRDefault="000E6CF7" w:rsidP="000E6CF7">
      <w:pPr>
        <w:shd w:val="clear" w:color="auto" w:fill="FFFFFF"/>
        <w:jc w:val="both"/>
      </w:pPr>
      <w:r w:rsidRPr="000E6CF7">
        <w:t>Glavni partner: PI2025</w:t>
      </w:r>
    </w:p>
    <w:p w:rsidR="000E6CF7" w:rsidRPr="000E6CF7" w:rsidRDefault="000E6CF7" w:rsidP="000E6CF7">
      <w:pPr>
        <w:shd w:val="clear" w:color="auto" w:fill="FFFFFF"/>
        <w:jc w:val="both"/>
        <w:rPr>
          <w:b/>
        </w:rPr>
      </w:pPr>
    </w:p>
    <w:p w:rsidR="00324484" w:rsidRDefault="00324484" w:rsidP="000E6CF7">
      <w:pPr>
        <w:shd w:val="clear" w:color="auto" w:fill="FFFFFF"/>
        <w:jc w:val="both"/>
        <w:rPr>
          <w:b/>
          <w:u w:val="single"/>
        </w:rPr>
      </w:pPr>
    </w:p>
    <w:p w:rsidR="00324484" w:rsidRDefault="00324484" w:rsidP="000E6CF7">
      <w:pPr>
        <w:shd w:val="clear" w:color="auto" w:fill="FFFFFF"/>
        <w:jc w:val="both"/>
        <w:rPr>
          <w:b/>
          <w:u w:val="single"/>
        </w:rPr>
      </w:pPr>
    </w:p>
    <w:p w:rsidR="00324484" w:rsidRDefault="00324484" w:rsidP="000E6CF7">
      <w:pPr>
        <w:shd w:val="clear" w:color="auto" w:fill="FFFFFF"/>
        <w:jc w:val="both"/>
        <w:rPr>
          <w:b/>
          <w:u w:val="single"/>
        </w:rPr>
      </w:pPr>
    </w:p>
    <w:p w:rsidR="000E6CF7" w:rsidRPr="000E6CF7" w:rsidRDefault="000E6CF7" w:rsidP="000E6CF7">
      <w:pPr>
        <w:shd w:val="clear" w:color="auto" w:fill="FFFFFF"/>
        <w:jc w:val="both"/>
        <w:rPr>
          <w:b/>
          <w:u w:val="single"/>
        </w:rPr>
      </w:pPr>
      <w:r w:rsidRPr="000E6CF7">
        <w:rPr>
          <w:b/>
          <w:u w:val="single"/>
        </w:rPr>
        <w:lastRenderedPageBreak/>
        <w:t xml:space="preserve">Ladja pripovedi – </w:t>
      </w:r>
      <w:proofErr w:type="spellStart"/>
      <w:r w:rsidRPr="000E6CF7">
        <w:rPr>
          <w:b/>
          <w:u w:val="single"/>
        </w:rPr>
        <w:t>Imerzivna</w:t>
      </w:r>
      <w:proofErr w:type="spellEnd"/>
      <w:r w:rsidRPr="000E6CF7">
        <w:rPr>
          <w:b/>
          <w:u w:val="single"/>
        </w:rPr>
        <w:t xml:space="preserve"> </w:t>
      </w:r>
      <w:proofErr w:type="spellStart"/>
      <w:r w:rsidRPr="000E6CF7">
        <w:rPr>
          <w:b/>
          <w:u w:val="single"/>
        </w:rPr>
        <w:t>performativna</w:t>
      </w:r>
      <w:proofErr w:type="spellEnd"/>
      <w:r w:rsidRPr="000E6CF7">
        <w:rPr>
          <w:b/>
          <w:u w:val="single"/>
        </w:rPr>
        <w:t xml:space="preserve"> praksa za otroke </w:t>
      </w:r>
    </w:p>
    <w:p w:rsidR="000E6CF7" w:rsidRPr="000E6CF7" w:rsidRDefault="000E6CF7" w:rsidP="000E6CF7">
      <w:pPr>
        <w:shd w:val="clear" w:color="auto" w:fill="FFFFFF"/>
        <w:jc w:val="both"/>
        <w:rPr>
          <w:b/>
          <w:bCs/>
        </w:rPr>
      </w:pPr>
    </w:p>
    <w:p w:rsidR="000E6CF7" w:rsidRPr="000E6CF7" w:rsidRDefault="000E6CF7" w:rsidP="000E6CF7">
      <w:pPr>
        <w:shd w:val="clear" w:color="auto" w:fill="FFFFFF"/>
        <w:jc w:val="both"/>
      </w:pPr>
      <w:r w:rsidRPr="000E6CF7">
        <w:rPr>
          <w:b/>
          <w:bCs/>
        </w:rPr>
        <w:t>Ladja pripovedi</w:t>
      </w:r>
      <w:r w:rsidRPr="000E6CF7">
        <w:t xml:space="preserve"> je projekt za gradnjo skupnosti, ki vključuje medgeneracijsko in medkulturno pripovedovanje zgodb ter gledališko dejavnost za otroke in njihove družine. Socialna kohezija sloni na ustvarjalni sposobnosti vseh nas, zlasti naših otrok, za pridobivanje novih znanj, pri čemer je posrednik empatija. V tem projektu bomo razvili bogat večkulturni dialog, osredotočen na zgodbo in gledališko predstavo, med:</w:t>
      </w:r>
    </w:p>
    <w:p w:rsidR="000E6CF7" w:rsidRPr="000E6CF7" w:rsidRDefault="000E6CF7" w:rsidP="000E6CF7">
      <w:pPr>
        <w:shd w:val="clear" w:color="auto" w:fill="FFFFFF"/>
        <w:jc w:val="both"/>
      </w:pPr>
      <w:r w:rsidRPr="000E6CF7">
        <w:t>- otroki (zaznamujeta jih čustvena inteligenca, ki pogosto ni prepoznana, in nenavaden način dojemanja sveta) in</w:t>
      </w:r>
    </w:p>
    <w:p w:rsidR="000E6CF7" w:rsidRPr="000E6CF7" w:rsidRDefault="000E6CF7" w:rsidP="000E6CF7">
      <w:pPr>
        <w:shd w:val="clear" w:color="auto" w:fill="FFFFFF"/>
        <w:jc w:val="both"/>
      </w:pPr>
      <w:r w:rsidRPr="000E6CF7">
        <w:t>- starejšimi / starimi starši (varuhi kulture in zgodovine skozi osebne izkušnje).</w:t>
      </w:r>
    </w:p>
    <w:p w:rsidR="000E6CF7" w:rsidRPr="000E6CF7" w:rsidRDefault="000E6CF7" w:rsidP="000E6CF7">
      <w:pPr>
        <w:shd w:val="clear" w:color="auto" w:fill="FFFFFF"/>
        <w:jc w:val="both"/>
      </w:pPr>
    </w:p>
    <w:p w:rsidR="000E6CF7" w:rsidRPr="000E6CF7" w:rsidRDefault="000E6CF7" w:rsidP="000E6CF7">
      <w:pPr>
        <w:shd w:val="clear" w:color="auto" w:fill="FFFFFF"/>
        <w:jc w:val="both"/>
      </w:pPr>
      <w:r w:rsidRPr="000E6CF7">
        <w:t xml:space="preserve">Lokacija: štiri občine </w:t>
      </w:r>
    </w:p>
    <w:p w:rsidR="000E6CF7" w:rsidRPr="000E6CF7" w:rsidRDefault="000E6CF7" w:rsidP="000E6CF7">
      <w:pPr>
        <w:shd w:val="clear" w:color="auto" w:fill="FFFFFF"/>
        <w:jc w:val="both"/>
      </w:pPr>
      <w:r w:rsidRPr="000E6CF7">
        <w:t>Občinstvo: dojenčki, otroci, mladi, družine in skrbniki</w:t>
      </w:r>
    </w:p>
    <w:p w:rsidR="000E6CF7" w:rsidRPr="000E6CF7" w:rsidRDefault="000E6CF7" w:rsidP="000E6CF7">
      <w:pPr>
        <w:shd w:val="clear" w:color="auto" w:fill="FFFFFF"/>
        <w:jc w:val="both"/>
      </w:pPr>
      <w:r w:rsidRPr="000E6CF7">
        <w:t xml:space="preserve">Umetniški vodji: Samanta Kobal (Slovenija) </w:t>
      </w:r>
      <w:r w:rsidR="006B4235">
        <w:t>in</w:t>
      </w:r>
      <w:r w:rsidRPr="000E6CF7">
        <w:t xml:space="preserve"> </w:t>
      </w:r>
      <w:r w:rsidR="006B4235">
        <w:t xml:space="preserve">Sarah </w:t>
      </w:r>
      <w:proofErr w:type="spellStart"/>
      <w:r w:rsidR="006B4235">
        <w:t>Argent</w:t>
      </w:r>
      <w:proofErr w:type="spellEnd"/>
      <w:r w:rsidR="006B4235">
        <w:t xml:space="preserve"> (Velika Britanija)</w:t>
      </w:r>
    </w:p>
    <w:p w:rsidR="000E6CF7" w:rsidRDefault="000E6CF7" w:rsidP="000E6CF7">
      <w:pPr>
        <w:shd w:val="clear" w:color="auto" w:fill="FFFFFF"/>
        <w:jc w:val="both"/>
        <w:rPr>
          <w:b/>
          <w:u w:val="single"/>
        </w:rPr>
      </w:pPr>
    </w:p>
    <w:p w:rsidR="000E6CF7" w:rsidRPr="000E6CF7" w:rsidRDefault="000E6CF7" w:rsidP="000E6CF7">
      <w:pPr>
        <w:shd w:val="clear" w:color="auto" w:fill="FFFFFF"/>
        <w:jc w:val="both"/>
        <w:rPr>
          <w:b/>
          <w:u w:val="single"/>
        </w:rPr>
      </w:pPr>
      <w:r w:rsidRPr="000E6CF7">
        <w:rPr>
          <w:b/>
          <w:u w:val="single"/>
        </w:rPr>
        <w:t xml:space="preserve">Istrski mednarodni center za sodobne uprizoritvene umetnosti – IMCSUU </w:t>
      </w:r>
    </w:p>
    <w:p w:rsidR="000E6CF7" w:rsidRPr="000E6CF7" w:rsidRDefault="000E6CF7" w:rsidP="000E6CF7">
      <w:pPr>
        <w:shd w:val="clear" w:color="auto" w:fill="FFFFFF"/>
        <w:jc w:val="both"/>
      </w:pPr>
      <w:r w:rsidRPr="000E6CF7">
        <w:t xml:space="preserve">Istrski mednarodni center za sodobne uprizoritvene umetnosti bo produciral in načrtoval multidisciplinarne, večjezične in večkulturne uprizoritve, delavnice, predavanja in participativne projekte. Center, ki se bo nahajal v nekdanjem skladišču soli </w:t>
      </w:r>
      <w:proofErr w:type="spellStart"/>
      <w:r w:rsidRPr="000E6CF7">
        <w:t>Monfort</w:t>
      </w:r>
      <w:proofErr w:type="spellEnd"/>
      <w:r w:rsidRPr="000E6CF7">
        <w:t xml:space="preserve"> v Portorožu, bo iz sodobnih up</w:t>
      </w:r>
      <w:r w:rsidR="006B4235">
        <w:t>rizoritvenih umetnosti naredil »novo sol«</w:t>
      </w:r>
      <w:r w:rsidRPr="000E6CF7">
        <w:t xml:space="preserve"> istrskega območja z mednarodnim, evropsko usmerjenim programom dejavnosti.</w:t>
      </w:r>
    </w:p>
    <w:p w:rsidR="000E6CF7" w:rsidRPr="000E6CF7" w:rsidRDefault="000E6CF7" w:rsidP="000E6CF7">
      <w:pPr>
        <w:shd w:val="clear" w:color="auto" w:fill="FFFFFF"/>
        <w:jc w:val="both"/>
      </w:pPr>
      <w:r w:rsidRPr="000E6CF7">
        <w:t>Center bo v projektih, ki izrazito poudarjajo večjezičnost, združeval razvoj (občinstev in območja), izobraževanje (profesionalnih gledališčnikov in gledalcev), produkcijo in načrtovanje programov (mednarodnih in lokalnih umetnikov). Med letoma 2023 in 2025 bo IMCSUU v treh različnih okoljih industrijske dediščine na slovenski obali produciral tri velike, za posamezne lokacije specifične, participativne uprizoritve.</w:t>
      </w:r>
    </w:p>
    <w:p w:rsidR="000E6CF7" w:rsidRPr="000E6CF7" w:rsidRDefault="000E6CF7" w:rsidP="000E6CF7">
      <w:pPr>
        <w:shd w:val="clear" w:color="auto" w:fill="FFFFFF"/>
        <w:jc w:val="both"/>
        <w:rPr>
          <w:b/>
        </w:rPr>
      </w:pPr>
    </w:p>
    <w:p w:rsidR="000E6CF7" w:rsidRPr="006B4235" w:rsidRDefault="000E6CF7" w:rsidP="000E6CF7">
      <w:pPr>
        <w:shd w:val="clear" w:color="auto" w:fill="FFFFFF"/>
        <w:jc w:val="both"/>
      </w:pPr>
      <w:r w:rsidRPr="006B4235">
        <w:t>Vodja projekta: PI2025 / ErosAntEros</w:t>
      </w:r>
    </w:p>
    <w:p w:rsidR="000E6CF7" w:rsidRPr="000E6CF7" w:rsidRDefault="000E6CF7" w:rsidP="000E6CF7">
      <w:pPr>
        <w:shd w:val="clear" w:color="auto" w:fill="FFFFFF"/>
        <w:jc w:val="both"/>
        <w:rPr>
          <w:b/>
        </w:rPr>
      </w:pPr>
    </w:p>
    <w:p w:rsidR="000E6CF7" w:rsidRPr="000E6CF7" w:rsidRDefault="000E6CF7" w:rsidP="000E6CF7">
      <w:pPr>
        <w:shd w:val="clear" w:color="auto" w:fill="FFFFFF"/>
        <w:jc w:val="both"/>
        <w:rPr>
          <w:b/>
          <w:u w:val="single"/>
        </w:rPr>
      </w:pPr>
      <w:r w:rsidRPr="000E6CF7">
        <w:rPr>
          <w:b/>
          <w:u w:val="single"/>
        </w:rPr>
        <w:t xml:space="preserve">Morska postaja – trajni participativni </w:t>
      </w:r>
      <w:proofErr w:type="spellStart"/>
      <w:r w:rsidRPr="000E6CF7">
        <w:rPr>
          <w:b/>
          <w:u w:val="single"/>
        </w:rPr>
        <w:t>performans</w:t>
      </w:r>
      <w:proofErr w:type="spellEnd"/>
      <w:r w:rsidRPr="000E6CF7">
        <w:rPr>
          <w:b/>
          <w:u w:val="single"/>
        </w:rPr>
        <w:t xml:space="preserve"> v javnem morskem prostoru</w:t>
      </w:r>
    </w:p>
    <w:p w:rsidR="000E6CF7" w:rsidRPr="000E6CF7" w:rsidRDefault="000E6CF7" w:rsidP="000E6CF7">
      <w:pPr>
        <w:shd w:val="clear" w:color="auto" w:fill="FFFFFF"/>
        <w:jc w:val="both"/>
        <w:rPr>
          <w:i/>
        </w:rPr>
      </w:pPr>
    </w:p>
    <w:p w:rsidR="000E6CF7" w:rsidRPr="000E6CF7" w:rsidRDefault="000E6CF7" w:rsidP="000E6CF7">
      <w:pPr>
        <w:shd w:val="clear" w:color="auto" w:fill="FFFFFF"/>
        <w:jc w:val="both"/>
        <w:rPr>
          <w:i/>
        </w:rPr>
      </w:pPr>
      <w:r w:rsidRPr="000E6CF7">
        <w:rPr>
          <w:i/>
        </w:rPr>
        <w:t>Meje obstajajo. Toda ljudje, rastline in živali ves čas kršijo pravila.</w:t>
      </w:r>
    </w:p>
    <w:p w:rsidR="000E6CF7" w:rsidRDefault="000E6CF7" w:rsidP="000E6CF7">
      <w:pPr>
        <w:shd w:val="clear" w:color="auto" w:fill="FFFFFF"/>
        <w:jc w:val="both"/>
      </w:pPr>
      <w:r w:rsidRPr="000E6CF7">
        <w:t xml:space="preserve">Ta trajni </w:t>
      </w:r>
      <w:proofErr w:type="spellStart"/>
      <w:r w:rsidRPr="000E6CF7">
        <w:t>performans</w:t>
      </w:r>
      <w:proofErr w:type="spellEnd"/>
      <w:r w:rsidRPr="000E6CF7">
        <w:t xml:space="preserve"> raziskuje družbene in osebne paradokse, ki jih je razkrilo obdobje Covid-19. Osrednji oder tega projekta bo Morska postaja, umeščena na morsko mejo med Slovenijo in Hrvaško. Postaja, ki jo gre razumeti kot družbeno skulpturo, bo hkrati raziskovalni objekt in prostor za skupni dialog. Slovenska umetnica Maja Smrekar bo v letih 2024 in 2025 živela na Morski postaji, pripravila projekt za otvoritev PI2025 in obenem gostila srečanja umetnikov, znanstvenikov, raziskovalcev, različnih fokusnih skupin, predstavnikov vladnih in nevladnih institucij. </w:t>
      </w:r>
    </w:p>
    <w:p w:rsidR="00043DBC" w:rsidRPr="000E6CF7" w:rsidRDefault="00043DBC" w:rsidP="000E6CF7">
      <w:pPr>
        <w:shd w:val="clear" w:color="auto" w:fill="FFFFFF"/>
        <w:jc w:val="both"/>
      </w:pPr>
    </w:p>
    <w:p w:rsidR="000E6CF7" w:rsidRPr="000E6CF7" w:rsidRDefault="000E6CF7" w:rsidP="000E6CF7">
      <w:pPr>
        <w:shd w:val="clear" w:color="auto" w:fill="FFFFFF"/>
        <w:jc w:val="both"/>
      </w:pPr>
      <w:r w:rsidRPr="000E6CF7">
        <w:t>Vodja projekta: Maja Smrekar</w:t>
      </w:r>
    </w:p>
    <w:p w:rsidR="000E6CF7" w:rsidRPr="000E6CF7" w:rsidRDefault="000E6CF7" w:rsidP="000E6CF7">
      <w:pPr>
        <w:shd w:val="clear" w:color="auto" w:fill="FFFFFF"/>
        <w:jc w:val="both"/>
      </w:pPr>
    </w:p>
    <w:p w:rsidR="000E6CF7" w:rsidRPr="000E6CF7" w:rsidRDefault="000E6CF7" w:rsidP="000E6CF7">
      <w:pPr>
        <w:pStyle w:val="NormalWeb1"/>
        <w:spacing w:before="0" w:after="0" w:line="240" w:lineRule="auto"/>
        <w:jc w:val="both"/>
        <w:rPr>
          <w:b/>
          <w:u w:val="single"/>
        </w:rPr>
      </w:pPr>
      <w:r w:rsidRPr="000E6CF7">
        <w:rPr>
          <w:b/>
          <w:u w:val="single"/>
        </w:rPr>
        <w:t xml:space="preserve">Forum </w:t>
      </w:r>
      <w:proofErr w:type="spellStart"/>
      <w:r w:rsidRPr="000E6CF7">
        <w:rPr>
          <w:b/>
          <w:u w:val="single"/>
        </w:rPr>
        <w:t>Babylon</w:t>
      </w:r>
      <w:proofErr w:type="spellEnd"/>
    </w:p>
    <w:p w:rsidR="000E6CF7" w:rsidRPr="000E6CF7" w:rsidRDefault="000E6CF7" w:rsidP="000E6CF7">
      <w:pPr>
        <w:pStyle w:val="NormalWeb1"/>
        <w:spacing w:before="0" w:after="0" w:line="240" w:lineRule="auto"/>
        <w:jc w:val="both"/>
        <w:rPr>
          <w:rStyle w:val="tlid-translation"/>
          <w:rFonts w:eastAsia="OpenSymbol"/>
        </w:rPr>
      </w:pPr>
      <w:r w:rsidRPr="000E6CF7">
        <w:rPr>
          <w:rStyle w:val="tlid-translation"/>
          <w:rFonts w:eastAsia="OpenSymbol"/>
        </w:rPr>
        <w:t xml:space="preserve">Forum </w:t>
      </w:r>
      <w:proofErr w:type="spellStart"/>
      <w:r w:rsidRPr="000E6CF7">
        <w:rPr>
          <w:rStyle w:val="tlid-translation"/>
          <w:rFonts w:eastAsia="OpenSymbol"/>
        </w:rPr>
        <w:t>Babylon</w:t>
      </w:r>
      <w:proofErr w:type="spellEnd"/>
      <w:r w:rsidRPr="000E6CF7">
        <w:rPr>
          <w:rStyle w:val="tlid-translation"/>
          <w:rFonts w:eastAsia="OpenSymbol"/>
        </w:rPr>
        <w:t xml:space="preserve"> je literarni projekt, ki postavlja v središče bogato literarno dediščino Slovenije, Italije in Hrvaške ter podpira sodobno literarno produkcijo. Raziskoval bo medsebojne vplive različnih jezikov, ki sobivajo v Istri. Pisatelji, prevajalci in jezikovni strokovnjaki igrajo neprecenljivo družbeno vlogo pri gradnji mostov med jeziki in kulturami ter prenosu zgodb iz ene skupnosti v drugo; s tem negujejo medsebojno spoštovanje in razumevanje.</w:t>
      </w:r>
    </w:p>
    <w:p w:rsidR="000E6CF7" w:rsidRPr="000E6CF7" w:rsidRDefault="000E6CF7" w:rsidP="000E6CF7">
      <w:pPr>
        <w:pStyle w:val="NormalWeb1"/>
        <w:spacing w:before="0" w:after="0" w:line="240" w:lineRule="auto"/>
        <w:jc w:val="both"/>
      </w:pPr>
    </w:p>
    <w:p w:rsidR="000E6CF7" w:rsidRPr="000E6CF7" w:rsidRDefault="000E6CF7" w:rsidP="000E6CF7">
      <w:pPr>
        <w:pStyle w:val="NormalWeb1"/>
        <w:spacing w:before="0" w:after="0" w:line="240" w:lineRule="auto"/>
      </w:pPr>
      <w:r w:rsidRPr="000E6CF7">
        <w:lastRenderedPageBreak/>
        <w:t>Lokacije: Koper, Trst, hrvaška Istra in deloma splet</w:t>
      </w:r>
    </w:p>
    <w:p w:rsidR="000E6CF7" w:rsidRPr="000E6CF7" w:rsidRDefault="000E6CF7" w:rsidP="000E6CF7">
      <w:pPr>
        <w:pStyle w:val="NormalWeb1"/>
        <w:spacing w:before="0" w:after="0" w:line="240" w:lineRule="auto"/>
      </w:pPr>
      <w:r w:rsidRPr="000E6CF7">
        <w:t xml:space="preserve">Občinstvo: bralci in pisci, literarni sektor </w:t>
      </w:r>
    </w:p>
    <w:p w:rsidR="000E6CF7" w:rsidRPr="000E6CF7" w:rsidRDefault="000E6CF7" w:rsidP="000E6CF7">
      <w:pPr>
        <w:pStyle w:val="NormalWeb1"/>
        <w:spacing w:before="0" w:after="0" w:line="240" w:lineRule="auto"/>
      </w:pPr>
      <w:r w:rsidRPr="000E6CF7">
        <w:t xml:space="preserve">Glavna partnerja: KUD AAC </w:t>
      </w:r>
      <w:proofErr w:type="spellStart"/>
      <w:r w:rsidRPr="000E6CF7">
        <w:t>Zrakogled</w:t>
      </w:r>
      <w:proofErr w:type="spellEnd"/>
      <w:r w:rsidRPr="000E6CF7">
        <w:t xml:space="preserve"> (Gašper Malej) in Kulturni klub Koper (Irena Urbič)</w:t>
      </w:r>
    </w:p>
    <w:p w:rsidR="000E6CF7" w:rsidRPr="000E6CF7" w:rsidRDefault="000E6CF7" w:rsidP="000E6CF7">
      <w:pPr>
        <w:pStyle w:val="NormalWeb1"/>
        <w:spacing w:before="0" w:after="0" w:line="240" w:lineRule="auto"/>
      </w:pPr>
    </w:p>
    <w:p w:rsidR="000E6CF7" w:rsidRPr="000E6CF7" w:rsidRDefault="000E6CF7" w:rsidP="000E6CF7">
      <w:pPr>
        <w:pStyle w:val="NormalWeb1"/>
        <w:spacing w:before="0" w:after="0" w:line="240" w:lineRule="auto"/>
        <w:rPr>
          <w:b/>
          <w:u w:val="single"/>
        </w:rPr>
      </w:pPr>
      <w:r w:rsidRPr="000E6CF7">
        <w:rPr>
          <w:b/>
          <w:u w:val="single"/>
        </w:rPr>
        <w:t>Mednarodni glasbeni Tartini Festival</w:t>
      </w:r>
    </w:p>
    <w:p w:rsidR="000E6CF7" w:rsidRPr="000E6CF7" w:rsidRDefault="000E6CF7" w:rsidP="000E6CF7">
      <w:pPr>
        <w:shd w:val="clear" w:color="auto" w:fill="FFFFFF"/>
        <w:jc w:val="both"/>
      </w:pPr>
      <w:r w:rsidRPr="000E6CF7">
        <w:rPr>
          <w:rStyle w:val="tlid-translation"/>
        </w:rPr>
        <w:t>Pomembna nadgradnja tega festivala, ki slavi v Piranu rojenega skladatelja Giuseppeja Tartinija (1692</w:t>
      </w:r>
      <w:r w:rsidRPr="000E6CF7">
        <w:rPr>
          <w:b/>
        </w:rPr>
        <w:t>–</w:t>
      </w:r>
      <w:r w:rsidRPr="000E6CF7">
        <w:rPr>
          <w:rStyle w:val="tlid-translation"/>
        </w:rPr>
        <w:t xml:space="preserve">1770) </w:t>
      </w:r>
      <w:r w:rsidRPr="000E6CF7">
        <w:rPr>
          <w:b/>
        </w:rPr>
        <w:t>–</w:t>
      </w:r>
      <w:r w:rsidRPr="000E6CF7">
        <w:rPr>
          <w:rStyle w:val="tlid-translation"/>
        </w:rPr>
        <w:t xml:space="preserve"> zvezdo evropskega baroka in enega najznamenitejših svetovnih skladateljev, violinskih virtuozov in pedagogov. V letih 2023 in 2024 bodo potekali mednarodno violinsko tekmovanje, mesečni koncerti, mojstrski tečaji in simpoziji. Leta 2025 se bodo na festivalu predstavili najboljši svetovni izvajalci Tartinija.</w:t>
      </w:r>
    </w:p>
    <w:p w:rsidR="000E6CF7" w:rsidRPr="000E6CF7" w:rsidRDefault="000E6CF7" w:rsidP="000E6CF7">
      <w:pPr>
        <w:shd w:val="clear" w:color="auto" w:fill="FFFFFF"/>
        <w:jc w:val="both"/>
      </w:pPr>
      <w:r w:rsidRPr="000E6CF7">
        <w:t>Sedež f</w:t>
      </w:r>
      <w:r w:rsidRPr="000E6CF7">
        <w:rPr>
          <w:rStyle w:val="tlid-translation"/>
        </w:rPr>
        <w:t xml:space="preserve">estivala bo v palači </w:t>
      </w:r>
      <w:proofErr w:type="spellStart"/>
      <w:r w:rsidRPr="000E6CF7">
        <w:rPr>
          <w:rStyle w:val="tlid-translation"/>
        </w:rPr>
        <w:t>Trevisini</w:t>
      </w:r>
      <w:proofErr w:type="spellEnd"/>
      <w:r w:rsidRPr="000E6CF7">
        <w:rPr>
          <w:rStyle w:val="tlid-translation"/>
        </w:rPr>
        <w:t xml:space="preserve">; deloval bo kot razvojna platforma za talente, občinstvo in aktivno udeležbo skupnosti. V partnerstvu s PI2025 bo vzpostavil stik s šolami v lokalnem in nacionalnem okolju, domovi za ostarele in skupnostnimi centri, pa tudi s svojim že obstoječim mednarodnim občinstvom. </w:t>
      </w:r>
      <w:r w:rsidRPr="000E6CF7">
        <w:t>Mednarodni glasbeni Tartini festival</w:t>
      </w:r>
      <w:r w:rsidRPr="000E6CF7">
        <w:rPr>
          <w:rStyle w:val="tlid-translation"/>
        </w:rPr>
        <w:t xml:space="preserve"> bo vstopil tudi v partnerstvo s projektom </w:t>
      </w:r>
      <w:r w:rsidRPr="000E6CF7">
        <w:rPr>
          <w:rStyle w:val="tlid-translation"/>
          <w:b/>
        </w:rPr>
        <w:t xml:space="preserve">Ladja pripovedi –  </w:t>
      </w:r>
      <w:proofErr w:type="spellStart"/>
      <w:r w:rsidRPr="000E6CF7">
        <w:rPr>
          <w:rStyle w:val="tlid-translation"/>
          <w:b/>
        </w:rPr>
        <w:t>Imerzivno</w:t>
      </w:r>
      <w:proofErr w:type="spellEnd"/>
      <w:r w:rsidRPr="000E6CF7">
        <w:rPr>
          <w:rStyle w:val="tlid-translation"/>
          <w:b/>
        </w:rPr>
        <w:t xml:space="preserve"> gledališče za otroke</w:t>
      </w:r>
      <w:r w:rsidRPr="000E6CF7">
        <w:rPr>
          <w:rStyle w:val="tlid-translation"/>
        </w:rPr>
        <w:t xml:space="preserve"> s ciljem razvoja glasbe in gledališča za mlado občinstvo.</w:t>
      </w:r>
    </w:p>
    <w:p w:rsidR="000E6CF7" w:rsidRPr="000E6CF7" w:rsidRDefault="000E6CF7" w:rsidP="000E6CF7">
      <w:pPr>
        <w:shd w:val="clear" w:color="auto" w:fill="FFFFFF"/>
        <w:jc w:val="both"/>
      </w:pPr>
    </w:p>
    <w:p w:rsidR="000E6CF7" w:rsidRPr="000E6CF7" w:rsidRDefault="000E6CF7" w:rsidP="000E6CF7">
      <w:pPr>
        <w:shd w:val="clear" w:color="auto" w:fill="FFFFFF"/>
        <w:jc w:val="both"/>
      </w:pPr>
      <w:r w:rsidRPr="000E6CF7">
        <w:t>Lokacija: Piran</w:t>
      </w:r>
    </w:p>
    <w:p w:rsidR="000E6CF7" w:rsidRPr="000E6CF7" w:rsidRDefault="000E6CF7" w:rsidP="000E6CF7">
      <w:pPr>
        <w:shd w:val="clear" w:color="auto" w:fill="FFFFFF"/>
        <w:jc w:val="both"/>
      </w:pPr>
      <w:r w:rsidRPr="000E6CF7">
        <w:t>Občinstva: mednarodno glasbeno občinstvo in turisti</w:t>
      </w:r>
    </w:p>
    <w:p w:rsidR="000E6CF7" w:rsidRPr="000E6CF7" w:rsidRDefault="000E6CF7" w:rsidP="000E6CF7">
      <w:pPr>
        <w:shd w:val="clear" w:color="auto" w:fill="FFFFFF"/>
        <w:jc w:val="both"/>
      </w:pPr>
    </w:p>
    <w:p w:rsidR="000E6CF7" w:rsidRPr="000E6CF7" w:rsidRDefault="000E6CF7" w:rsidP="000E6CF7">
      <w:pPr>
        <w:shd w:val="clear" w:color="auto" w:fill="FFFFFF"/>
        <w:jc w:val="both"/>
        <w:rPr>
          <w:b/>
          <w:i/>
          <w:u w:val="single"/>
        </w:rPr>
      </w:pPr>
      <w:r w:rsidRPr="000E6CF7">
        <w:rPr>
          <w:b/>
          <w:u w:val="single"/>
        </w:rPr>
        <w:t xml:space="preserve">Sozvočja – Vozlišče za svetovne glasbe v piranski palači </w:t>
      </w:r>
      <w:proofErr w:type="spellStart"/>
      <w:r w:rsidRPr="000E6CF7">
        <w:rPr>
          <w:b/>
          <w:u w:val="single"/>
        </w:rPr>
        <w:t>Trevisini</w:t>
      </w:r>
      <w:proofErr w:type="spellEnd"/>
    </w:p>
    <w:p w:rsidR="000E6CF7" w:rsidRPr="000E6CF7" w:rsidRDefault="000E6CF7" w:rsidP="000E6CF7">
      <w:pPr>
        <w:shd w:val="clear" w:color="auto" w:fill="FFFFFF"/>
        <w:jc w:val="both"/>
        <w:rPr>
          <w:i/>
        </w:rPr>
      </w:pPr>
      <w:r w:rsidRPr="000E6CF7">
        <w:rPr>
          <w:rStyle w:val="tlid-translation"/>
        </w:rPr>
        <w:t xml:space="preserve">Tradicionalna istrska glasba s svojo </w:t>
      </w:r>
      <w:proofErr w:type="spellStart"/>
      <w:r w:rsidRPr="000E6CF7">
        <w:rPr>
          <w:rStyle w:val="tlid-translation"/>
        </w:rPr>
        <w:t>heksatonsko</w:t>
      </w:r>
      <w:proofErr w:type="spellEnd"/>
      <w:r w:rsidRPr="000E6CF7">
        <w:rPr>
          <w:rStyle w:val="tlid-translation"/>
        </w:rPr>
        <w:t xml:space="preserve"> lestvico, ki je predmet mednarodnih raziskav, s svojimi zvočnimi posebnostmi in zgodovinskimi konotacijami si zasluži posebno mesto v svetovni glasbeni krajini. Pomembno je, da nadaljujemo delo vidnih etnomuzikologov, izvajalcev, skladateljev in društev, ki se ukvarjajo z ljudsko glasbo, in ohranjamo znanje o istrski glasbi, plesih, instrumentih in običajih ter ga vnašamo v sodobno glasbeno krajino. Oddelek za </w:t>
      </w:r>
      <w:proofErr w:type="spellStart"/>
      <w:r w:rsidRPr="000E6CF7">
        <w:rPr>
          <w:rStyle w:val="tlid-translation"/>
        </w:rPr>
        <w:t>etnoglasbo</w:t>
      </w:r>
      <w:proofErr w:type="spellEnd"/>
      <w:r w:rsidRPr="000E6CF7">
        <w:rPr>
          <w:rStyle w:val="tlid-translation"/>
        </w:rPr>
        <w:t xml:space="preserve"> novega glasbenega vozlišča v palači </w:t>
      </w:r>
      <w:proofErr w:type="spellStart"/>
      <w:r w:rsidRPr="000E6CF7">
        <w:rPr>
          <w:rStyle w:val="tlid-translation"/>
        </w:rPr>
        <w:t>Trevisini</w:t>
      </w:r>
      <w:proofErr w:type="spellEnd"/>
      <w:r w:rsidRPr="000E6CF7">
        <w:rPr>
          <w:rStyle w:val="tlid-translation"/>
        </w:rPr>
        <w:t xml:space="preserve"> bo ponujal platformo za različne dejavnosti: </w:t>
      </w:r>
      <w:r w:rsidRPr="000E6CF7">
        <w:rPr>
          <w:rStyle w:val="tlid-translation"/>
          <w:i/>
        </w:rPr>
        <w:t xml:space="preserve">Izobraževanje – </w:t>
      </w:r>
      <w:r w:rsidRPr="000E6CF7">
        <w:rPr>
          <w:rStyle w:val="tlid-translation"/>
        </w:rPr>
        <w:t xml:space="preserve">delavnice in redno poučevanje svetovne glasbe, poletna šola svetovne glasbe, vse v sodelovanju s priznanimi glasbeniki in glasbenimi pedagogi. </w:t>
      </w:r>
      <w:r w:rsidRPr="000E6CF7">
        <w:rPr>
          <w:rStyle w:val="tlid-translation"/>
          <w:i/>
        </w:rPr>
        <w:t>Mednarodno sodelovanje</w:t>
      </w:r>
      <w:r w:rsidRPr="000E6CF7">
        <w:rPr>
          <w:rStyle w:val="tlid-translation"/>
        </w:rPr>
        <w:t xml:space="preserve"> </w:t>
      </w:r>
      <w:r w:rsidRPr="000E6CF7">
        <w:rPr>
          <w:rStyle w:val="tlid-translation"/>
          <w:i/>
        </w:rPr>
        <w:t xml:space="preserve">– </w:t>
      </w:r>
      <w:r w:rsidRPr="000E6CF7">
        <w:rPr>
          <w:rStyle w:val="tlid-translation"/>
        </w:rPr>
        <w:t xml:space="preserve">skupni glasbeni projekti in produkcije, rezidence, </w:t>
      </w:r>
      <w:proofErr w:type="spellStart"/>
      <w:r w:rsidRPr="000E6CF7">
        <w:rPr>
          <w:rStyle w:val="tlid-translation"/>
        </w:rPr>
        <w:t>kurirani</w:t>
      </w:r>
      <w:proofErr w:type="spellEnd"/>
      <w:r w:rsidRPr="000E6CF7">
        <w:rPr>
          <w:rStyle w:val="tlid-translation"/>
        </w:rPr>
        <w:t xml:space="preserve"> koncerti svetovne glasbe. </w:t>
      </w:r>
      <w:r w:rsidRPr="000E6CF7">
        <w:rPr>
          <w:rStyle w:val="tlid-translation"/>
          <w:i/>
        </w:rPr>
        <w:t>Produkcija</w:t>
      </w:r>
      <w:r w:rsidRPr="000E6CF7">
        <w:rPr>
          <w:rStyle w:val="tlid-translation"/>
        </w:rPr>
        <w:t xml:space="preserve"> </w:t>
      </w:r>
      <w:r w:rsidRPr="000E6CF7">
        <w:rPr>
          <w:rStyle w:val="tlid-translation"/>
          <w:i/>
        </w:rPr>
        <w:t xml:space="preserve"> – </w:t>
      </w:r>
      <w:r w:rsidRPr="000E6CF7">
        <w:rPr>
          <w:rStyle w:val="tlid-translation"/>
        </w:rPr>
        <w:t>avdio in video produkcija, glasbeni arhiv, spletne platforme, notni listi in učna gradiva s CC licenco za glasbene šole, pedagoge, glasbenike.</w:t>
      </w:r>
    </w:p>
    <w:p w:rsidR="000E6CF7" w:rsidRPr="000E6CF7" w:rsidRDefault="000E6CF7" w:rsidP="000E6CF7">
      <w:pPr>
        <w:shd w:val="clear" w:color="auto" w:fill="FFFFFF"/>
        <w:jc w:val="both"/>
      </w:pPr>
    </w:p>
    <w:p w:rsidR="000E6CF7" w:rsidRPr="000E6CF7" w:rsidRDefault="000E6CF7" w:rsidP="000E6CF7">
      <w:pPr>
        <w:shd w:val="clear" w:color="auto" w:fill="FFFFFF"/>
        <w:jc w:val="both"/>
      </w:pPr>
      <w:r w:rsidRPr="000E6CF7">
        <w:t xml:space="preserve">Lokacija: Palača </w:t>
      </w:r>
      <w:proofErr w:type="spellStart"/>
      <w:r w:rsidRPr="000E6CF7">
        <w:t>Trevisini</w:t>
      </w:r>
      <w:proofErr w:type="spellEnd"/>
      <w:r w:rsidRPr="000E6CF7">
        <w:t xml:space="preserve">, Piran </w:t>
      </w:r>
    </w:p>
    <w:p w:rsidR="000E6CF7" w:rsidRPr="000E6CF7" w:rsidRDefault="000E6CF7" w:rsidP="000E6CF7">
      <w:pPr>
        <w:shd w:val="clear" w:color="auto" w:fill="FFFFFF"/>
        <w:jc w:val="both"/>
      </w:pPr>
      <w:r w:rsidRPr="000E6CF7">
        <w:t>Občinstva: širša javnost, učenci, priznani glasbeniki in glasbeni pedagogi</w:t>
      </w:r>
    </w:p>
    <w:p w:rsidR="000E6CF7" w:rsidRPr="000E6CF7" w:rsidRDefault="000E6CF7" w:rsidP="000E6CF7">
      <w:pPr>
        <w:shd w:val="clear" w:color="auto" w:fill="FFFFFF"/>
        <w:jc w:val="both"/>
      </w:pPr>
    </w:p>
    <w:p w:rsidR="000E6CF7" w:rsidRPr="000E6CF7" w:rsidRDefault="000E6CF7" w:rsidP="000E6CF7">
      <w:pPr>
        <w:pStyle w:val="Telobesedila"/>
        <w:rPr>
          <w:bCs w:val="0"/>
          <w:color w:val="000000"/>
          <w:u w:val="single"/>
        </w:rPr>
      </w:pPr>
      <w:r>
        <w:rPr>
          <w:bCs w:val="0"/>
          <w:color w:val="000000"/>
          <w:u w:val="single"/>
        </w:rPr>
        <w:t>I</w:t>
      </w:r>
      <w:r w:rsidRPr="000E6CF7">
        <w:rPr>
          <w:bCs w:val="0"/>
          <w:color w:val="000000"/>
          <w:u w:val="single"/>
        </w:rPr>
        <w:t>nvesticijski načrt</w:t>
      </w:r>
    </w:p>
    <w:p w:rsidR="000E6CF7" w:rsidRPr="000E6CF7" w:rsidRDefault="000E6CF7" w:rsidP="000E6CF7">
      <w:pPr>
        <w:pStyle w:val="Telobesedila"/>
        <w:rPr>
          <w:b w:val="0"/>
          <w:color w:val="000000"/>
        </w:rPr>
      </w:pPr>
      <w:r w:rsidRPr="000E6CF7">
        <w:rPr>
          <w:b w:val="0"/>
          <w:color w:val="000000"/>
        </w:rPr>
        <w:t xml:space="preserve">Za pripravo in izvedbo načrtovanih investicij, povezanih s projektom EPK, je bil izdelan akcijski načrt. Za vsako posamezno investicijo je navedeno, kaj vse je treba preveriti, opraviti, naročiti in izvesti, da bo lahko zaključena do konca leta 2024. Pomembno je, da se vse investicije lahko izvedejo po obstoječih planskih in izvedbenih prostorskih načrtih. Izjema je Medgeneracijski center v Izoli, za katerega bo treba sprejeti ustrezen OPPN. Pomembno je tudi, da so s premoženjsko-pravnega vidika vse načrtovane investicije možne. Zemljišča in nepremičnine, dostopne poti in služnosti so urejene. Za večino investicij je že izdelana investicijska dokumentacija – DIIP, v kateri so jasno navedeni obstoječe stanje, razlogi za investicijsko namero, potrebe, ki jih bo zadovoljila investicija, skladnost investicije z evropskimi, nacionalnimi, regionalnimi in lokalnimi strategijami, odgovorne osebe, stroški priprave in izvedbe investicije po stroškovnih sklopih, nadaljnja potrebna investicijska, </w:t>
      </w:r>
      <w:r w:rsidRPr="000E6CF7">
        <w:rPr>
          <w:b w:val="0"/>
          <w:color w:val="000000"/>
        </w:rPr>
        <w:lastRenderedPageBreak/>
        <w:t>projektna in tehnična dokumentacija, potrebna upravna dovoljenja, finančna konstrukcija z viri financiranja po stalnih in tekočih cenah, časovni načrt priprave in izvedbe investicije.</w:t>
      </w:r>
    </w:p>
    <w:p w:rsidR="000E6CF7" w:rsidRPr="000E6CF7" w:rsidRDefault="000E6CF7" w:rsidP="000E6CF7">
      <w:pPr>
        <w:pStyle w:val="Telobesedila"/>
        <w:rPr>
          <w:color w:val="000000"/>
        </w:rPr>
      </w:pPr>
    </w:p>
    <w:p w:rsidR="000E6CF7" w:rsidRPr="00324484" w:rsidRDefault="000E6CF7" w:rsidP="000E6CF7">
      <w:pPr>
        <w:pStyle w:val="Telobesedila"/>
        <w:rPr>
          <w:b w:val="0"/>
          <w:bCs w:val="0"/>
          <w:i/>
          <w:color w:val="000000"/>
          <w:u w:val="single"/>
        </w:rPr>
      </w:pPr>
      <w:r w:rsidRPr="00324484">
        <w:rPr>
          <w:b w:val="0"/>
          <w:bCs w:val="0"/>
          <w:i/>
          <w:color w:val="000000"/>
          <w:u w:val="single"/>
        </w:rPr>
        <w:t>Kulturna ambasada za klimatske spremembe</w:t>
      </w:r>
    </w:p>
    <w:p w:rsidR="000E6CF7" w:rsidRPr="000E6CF7" w:rsidRDefault="000E6CF7" w:rsidP="000E6CF7">
      <w:pPr>
        <w:pStyle w:val="Telobesedila"/>
        <w:rPr>
          <w:b w:val="0"/>
          <w:color w:val="000000"/>
        </w:rPr>
      </w:pPr>
      <w:r w:rsidRPr="000E6CF7">
        <w:rPr>
          <w:b w:val="0"/>
          <w:color w:val="000000"/>
        </w:rPr>
        <w:t xml:space="preserve">V nekdanjem skladišču soli </w:t>
      </w:r>
      <w:proofErr w:type="spellStart"/>
      <w:r w:rsidRPr="000E6CF7">
        <w:rPr>
          <w:b w:val="0"/>
          <w:color w:val="000000"/>
        </w:rPr>
        <w:t>Monfort</w:t>
      </w:r>
      <w:proofErr w:type="spellEnd"/>
      <w:r w:rsidRPr="000E6CF7">
        <w:rPr>
          <w:b w:val="0"/>
          <w:color w:val="000000"/>
        </w:rPr>
        <w:t xml:space="preserve"> je načrtovana ureditev dveh skladiščnih prekatov za potrebe načrtovanih programov. V enem je predviden Istrski mednarodni center za sodobne uprizoritvene umetnosti (IICPAC), v drugem pa Središče sodobne digitalne umetnosti – THE WAVE.</w:t>
      </w:r>
    </w:p>
    <w:p w:rsidR="000E6CF7" w:rsidRPr="000E6CF7" w:rsidRDefault="000E6CF7" w:rsidP="000E6CF7">
      <w:pPr>
        <w:pStyle w:val="Telobesedila"/>
        <w:rPr>
          <w:b w:val="0"/>
          <w:color w:val="000000"/>
        </w:rPr>
      </w:pPr>
    </w:p>
    <w:p w:rsidR="000E6CF7" w:rsidRPr="000E6CF7" w:rsidRDefault="000E6CF7" w:rsidP="000E6CF7">
      <w:pPr>
        <w:pStyle w:val="Telobesedila"/>
        <w:rPr>
          <w:b w:val="0"/>
          <w:color w:val="000000"/>
        </w:rPr>
      </w:pPr>
      <w:r w:rsidRPr="000E6CF7">
        <w:rPr>
          <w:b w:val="0"/>
          <w:color w:val="000000"/>
        </w:rPr>
        <w:t>Narejeni so: programska naloga, projektna naloga, posnetek obstoječega stanja, Dokument identifikacije investicijskega projekta, popis potrebnih del, opreme, programske opreme, ocena vrednosti po postavkah.</w:t>
      </w:r>
    </w:p>
    <w:p w:rsidR="000E6CF7" w:rsidRPr="000E6CF7" w:rsidRDefault="000E6CF7" w:rsidP="000E6CF7">
      <w:pPr>
        <w:pStyle w:val="Telobesedila"/>
        <w:rPr>
          <w:color w:val="000000"/>
        </w:rPr>
      </w:pPr>
    </w:p>
    <w:p w:rsidR="000E6CF7" w:rsidRPr="000E6CF7" w:rsidRDefault="000E6CF7" w:rsidP="000E6CF7">
      <w:pPr>
        <w:pStyle w:val="Telobesedila"/>
        <w:rPr>
          <w:b w:val="0"/>
          <w:color w:val="000000"/>
        </w:rPr>
      </w:pPr>
      <w:r w:rsidRPr="000E6CF7">
        <w:rPr>
          <w:b w:val="0"/>
          <w:color w:val="000000"/>
        </w:rPr>
        <w:t>Za dokončanje investicije je potrebno izbrati projektanta in izdelati IZP, DGD ter PZI dokumentacijo, izdelati projekt opreme, pridobiti gradbeno dovoljenje, izvesti javni razpis za pridobitev izvajalca GOI del in za dobavitelja opreme. Med izvajanjem je treba zagotoviti nadzornika in inženirja za varnost pri delu. Po dokončanju del se izdela PID in pridobi uporabno dovoljenje. Časovni načrt je sledeč (podroben časovni načrt je prikazan v DIIP in akcijskem načrtu):</w:t>
      </w:r>
    </w:p>
    <w:p w:rsidR="000E6CF7" w:rsidRPr="000E6CF7" w:rsidRDefault="000E6CF7" w:rsidP="000E6CF7">
      <w:pPr>
        <w:pStyle w:val="Telobesedila"/>
        <w:rPr>
          <w:b w:val="0"/>
          <w:color w:val="000000"/>
        </w:rPr>
      </w:pPr>
      <w:r w:rsidRPr="000E6CF7">
        <w:rPr>
          <w:b w:val="0"/>
          <w:color w:val="000000"/>
        </w:rPr>
        <w:t>2021: Izdelava projektne dokumentacije, izdelava in potrditev investicijskega programa, pridobitev gradbenega dovoljenja.</w:t>
      </w:r>
    </w:p>
    <w:p w:rsidR="000E6CF7" w:rsidRPr="000E6CF7" w:rsidRDefault="000E6CF7" w:rsidP="000E6CF7">
      <w:pPr>
        <w:pStyle w:val="Telobesedila"/>
        <w:rPr>
          <w:b w:val="0"/>
          <w:color w:val="000000"/>
        </w:rPr>
      </w:pPr>
      <w:r w:rsidRPr="000E6CF7">
        <w:rPr>
          <w:b w:val="0"/>
          <w:color w:val="000000"/>
        </w:rPr>
        <w:t>2022: Postopki javnega naročanja za izbor izvajalca GOI del, dobavitelja opreme, nadzornika in koordinatorja za varstvo pri delu; izvajanje GOI del, nadzor.</w:t>
      </w:r>
    </w:p>
    <w:p w:rsidR="000E6CF7" w:rsidRPr="000E6CF7" w:rsidRDefault="000E6CF7" w:rsidP="000E6CF7">
      <w:pPr>
        <w:pStyle w:val="Telobesedila"/>
        <w:rPr>
          <w:b w:val="0"/>
          <w:color w:val="000000"/>
        </w:rPr>
      </w:pPr>
      <w:r w:rsidRPr="000E6CF7">
        <w:rPr>
          <w:b w:val="0"/>
          <w:color w:val="000000"/>
        </w:rPr>
        <w:t>2023: Dokončanje GOI del, dobava in namestitev opreme, nadzor, izdelava PID in pridobitev uporabnega dovoljenja, primopredaja objekta v uporabo julija 2023.</w:t>
      </w:r>
    </w:p>
    <w:p w:rsidR="000E6CF7" w:rsidRPr="000E6CF7" w:rsidRDefault="000E6CF7" w:rsidP="000E6CF7">
      <w:pPr>
        <w:pStyle w:val="Telobesedila"/>
        <w:rPr>
          <w:color w:val="000000"/>
        </w:rPr>
      </w:pPr>
    </w:p>
    <w:p w:rsidR="000E6CF7" w:rsidRPr="000E6CF7" w:rsidRDefault="000E6CF7" w:rsidP="000E6CF7">
      <w:pPr>
        <w:pStyle w:val="Telobesedila"/>
        <w:rPr>
          <w:b w:val="0"/>
          <w:bCs w:val="0"/>
          <w:color w:val="000000"/>
          <w:u w:val="single"/>
        </w:rPr>
      </w:pPr>
      <w:r w:rsidRPr="000E6CF7">
        <w:rPr>
          <w:b w:val="0"/>
          <w:bCs w:val="0"/>
          <w:i/>
          <w:color w:val="000000"/>
          <w:u w:val="single"/>
        </w:rPr>
        <w:t>Forma viva</w:t>
      </w:r>
    </w:p>
    <w:p w:rsidR="000E6CF7" w:rsidRPr="000E6CF7" w:rsidRDefault="000E6CF7" w:rsidP="000E6CF7">
      <w:pPr>
        <w:pStyle w:val="Telobesedila"/>
        <w:rPr>
          <w:b w:val="0"/>
          <w:color w:val="000000"/>
        </w:rPr>
      </w:pPr>
      <w:r w:rsidRPr="000E6CF7">
        <w:rPr>
          <w:b w:val="0"/>
          <w:color w:val="000000"/>
        </w:rPr>
        <w:t xml:space="preserve">Investicijski projekt predvideva prenovo, razširitev in posodobitev parka skulptur na prostem na območju polotoka Seča ter ureditev dostopne ceste s pločnikom in javno razsvetljavo, ureditev pešpoti ter ureditev prometnega režima in mirujočega prometa. Investicija zajema tri sklope: rekonstrukcija in razširitev ceste (rekonstrukcija ceste v dolžini približno 630 metrov, izvedba pločnika in javne razsvetljave ter obnova oz. dograditev meteorne in fekalne kanalizacije ter vodovoda), rekonstrukcija pešpoti (tlakovanje in javna razsvetljava v dolžini približno 260 metrov), ureditev parka, vključno s čiščenjem obstoječih skulptur (parkirna mesta, vhodni portal, kontroliran režim dostopa z vozili, </w:t>
      </w:r>
      <w:proofErr w:type="spellStart"/>
      <w:r w:rsidRPr="000E6CF7">
        <w:rPr>
          <w:b w:val="0"/>
          <w:color w:val="000000"/>
        </w:rPr>
        <w:t>pitniki</w:t>
      </w:r>
      <w:proofErr w:type="spellEnd"/>
      <w:r w:rsidRPr="000E6CF7">
        <w:rPr>
          <w:b w:val="0"/>
          <w:color w:val="000000"/>
        </w:rPr>
        <w:t xml:space="preserve"> s pitno vodo, sanitarije, koši za smeti, ekološki otok, senčni kotički za počitek, parkirišča za kolesa, ureditev razstavne poti, čiščenje skulptur). Za rekonstrukcijo ceste s pločnikom in spremljajoče komunalne infrastrukture je že izdelana vsa potrebna investicijska in projektna dokumentacija, pridobljeno je pravnomočno gradbeno dovoljenje. Predvidena dinamika za izvedbo investicije je (podroben opis v DIIP in akcijskem načrtu):</w:t>
      </w:r>
    </w:p>
    <w:p w:rsidR="000E6CF7" w:rsidRPr="000E6CF7" w:rsidRDefault="000E6CF7" w:rsidP="000E6CF7">
      <w:pPr>
        <w:pStyle w:val="Telobesedila"/>
        <w:rPr>
          <w:b w:val="0"/>
          <w:color w:val="000000"/>
        </w:rPr>
      </w:pPr>
    </w:p>
    <w:p w:rsidR="000E6CF7" w:rsidRPr="000E6CF7" w:rsidRDefault="000E6CF7" w:rsidP="000E6CF7">
      <w:pPr>
        <w:pStyle w:val="Telobesedila"/>
        <w:rPr>
          <w:b w:val="0"/>
          <w:color w:val="000000"/>
        </w:rPr>
      </w:pPr>
      <w:r w:rsidRPr="000E6CF7">
        <w:rPr>
          <w:b w:val="0"/>
          <w:color w:val="000000"/>
        </w:rPr>
        <w:t>2021: Izvedba javnega naročila za izbor izvajalca GOI del za cesto s spremljajočo komunalno infrastrukturo, ureditev parkirišča in dokončanje faze »cesta«. Izdelava preostale projektne dokumentacije (ureditev parka).</w:t>
      </w:r>
    </w:p>
    <w:p w:rsidR="000E6CF7" w:rsidRPr="000E6CF7" w:rsidRDefault="000E6CF7" w:rsidP="000E6CF7">
      <w:pPr>
        <w:pStyle w:val="Telobesedila"/>
        <w:rPr>
          <w:b w:val="0"/>
          <w:color w:val="000000"/>
        </w:rPr>
      </w:pPr>
      <w:r w:rsidRPr="000E6CF7">
        <w:rPr>
          <w:b w:val="0"/>
          <w:color w:val="000000"/>
        </w:rPr>
        <w:t>2022: Izvedba javnega naročila za izbor izvajalca za ureditev parka. Ureditev parka. Zaključek del je predviden junija 2022. Zaključena so vsa dela in namestitev parkovne opreme, vključno s čiščenjem skulptur.</w:t>
      </w:r>
    </w:p>
    <w:p w:rsidR="000E6CF7" w:rsidRPr="000E6CF7" w:rsidRDefault="000E6CF7" w:rsidP="000E6CF7">
      <w:pPr>
        <w:pStyle w:val="Telobesedila"/>
        <w:rPr>
          <w:b w:val="0"/>
          <w:color w:val="000000"/>
        </w:rPr>
      </w:pPr>
      <w:r w:rsidRPr="000E6CF7">
        <w:rPr>
          <w:b w:val="0"/>
          <w:color w:val="000000"/>
        </w:rPr>
        <w:t>2023: V začetku leta 2023 se izvedejo investicijska vzdrževalna dela za tlakovanje in osvetlitev pešpoti.</w:t>
      </w:r>
    </w:p>
    <w:p w:rsidR="000E6CF7" w:rsidRPr="000E6CF7" w:rsidRDefault="000E6CF7" w:rsidP="000E6CF7">
      <w:pPr>
        <w:pStyle w:val="Telobesedila"/>
        <w:rPr>
          <w:b w:val="0"/>
          <w:bCs w:val="0"/>
          <w:color w:val="000000"/>
          <w:u w:val="single"/>
        </w:rPr>
      </w:pPr>
      <w:r w:rsidRPr="000E6CF7">
        <w:rPr>
          <w:color w:val="000000"/>
        </w:rPr>
        <w:lastRenderedPageBreak/>
        <w:t> </w:t>
      </w:r>
      <w:r w:rsidRPr="000E6CF7">
        <w:rPr>
          <w:b w:val="0"/>
          <w:bCs w:val="0"/>
          <w:i/>
          <w:color w:val="000000"/>
          <w:u w:val="single"/>
        </w:rPr>
        <w:t xml:space="preserve">Palača </w:t>
      </w:r>
      <w:proofErr w:type="spellStart"/>
      <w:r w:rsidRPr="000E6CF7">
        <w:rPr>
          <w:b w:val="0"/>
          <w:bCs w:val="0"/>
          <w:i/>
          <w:color w:val="000000"/>
          <w:u w:val="single"/>
        </w:rPr>
        <w:t>Trevisini</w:t>
      </w:r>
      <w:proofErr w:type="spellEnd"/>
    </w:p>
    <w:p w:rsidR="000E6CF7" w:rsidRPr="000E6CF7" w:rsidRDefault="000E6CF7" w:rsidP="000E6CF7">
      <w:pPr>
        <w:pStyle w:val="Telobesedila"/>
        <w:rPr>
          <w:b w:val="0"/>
          <w:color w:val="000000"/>
        </w:rPr>
      </w:pPr>
      <w:r w:rsidRPr="000E6CF7">
        <w:rPr>
          <w:b w:val="0"/>
          <w:color w:val="000000"/>
        </w:rPr>
        <w:t xml:space="preserve">Klasična palača, zgrajena leta 1826, v celoti obnovljena, bo postala regionalno središče za glasbo: v njej bodo pisarne, prostori za vadbo in manjša koncertna dvorana. Stavba bo administrativni sedež EPK. Javna kavarna bo služila tudi kot zbirališče. V palači bosta urejena muzej baročnih instrumentov in specializirana glasbena knjižnica. Delovala bo tudi kot podporno središče za Tartinijev mednarodni glasbeni festival, za projekta Vokali in </w:t>
      </w:r>
      <w:proofErr w:type="spellStart"/>
      <w:r w:rsidRPr="000E6CF7">
        <w:rPr>
          <w:b w:val="0"/>
          <w:color w:val="000000"/>
        </w:rPr>
        <w:t>EtnoHist</w:t>
      </w:r>
      <w:proofErr w:type="spellEnd"/>
      <w:r w:rsidRPr="000E6CF7">
        <w:rPr>
          <w:b w:val="0"/>
          <w:color w:val="000000"/>
        </w:rPr>
        <w:t>(e)</w:t>
      </w:r>
      <w:proofErr w:type="spellStart"/>
      <w:r w:rsidRPr="000E6CF7">
        <w:rPr>
          <w:b w:val="0"/>
          <w:color w:val="000000"/>
        </w:rPr>
        <w:t>ria</w:t>
      </w:r>
      <w:proofErr w:type="spellEnd"/>
      <w:r w:rsidRPr="000E6CF7">
        <w:rPr>
          <w:b w:val="0"/>
          <w:color w:val="000000"/>
        </w:rPr>
        <w:t>.</w:t>
      </w:r>
    </w:p>
    <w:p w:rsidR="000E6CF7" w:rsidRPr="000E6CF7" w:rsidRDefault="000E6CF7" w:rsidP="000E6CF7">
      <w:pPr>
        <w:pStyle w:val="Telobesedila"/>
        <w:rPr>
          <w:b w:val="0"/>
          <w:color w:val="000000"/>
        </w:rPr>
      </w:pPr>
      <w:r w:rsidRPr="000E6CF7">
        <w:rPr>
          <w:b w:val="0"/>
          <w:color w:val="000000"/>
        </w:rPr>
        <w:t> </w:t>
      </w:r>
    </w:p>
    <w:p w:rsidR="000E6CF7" w:rsidRPr="000E6CF7" w:rsidRDefault="000E6CF7" w:rsidP="000E6CF7">
      <w:pPr>
        <w:pStyle w:val="Telobesedila"/>
        <w:rPr>
          <w:b w:val="0"/>
          <w:color w:val="000000"/>
        </w:rPr>
      </w:pPr>
      <w:r w:rsidRPr="000E6CF7">
        <w:rPr>
          <w:b w:val="0"/>
          <w:color w:val="000000"/>
        </w:rPr>
        <w:t>Občina Piran načrtuje nakup zgradbe in manjše posege, ki bodo izboljšali akustiko prostorov. Za načrtovano investicijo je že izdelan in potrjen Dokument identifikacije investicijskega projekta, pridobljeni so posnetki obstoječega stanja in energetska izkaznica.</w:t>
      </w:r>
    </w:p>
    <w:p w:rsidR="000E6CF7" w:rsidRPr="000E6CF7" w:rsidRDefault="000E6CF7" w:rsidP="000E6CF7">
      <w:pPr>
        <w:pStyle w:val="Telobesedila"/>
        <w:rPr>
          <w:color w:val="000000"/>
        </w:rPr>
      </w:pPr>
      <w:r w:rsidRPr="000E6CF7">
        <w:rPr>
          <w:color w:val="000000"/>
        </w:rPr>
        <w:t> </w:t>
      </w:r>
    </w:p>
    <w:p w:rsidR="000E6CF7" w:rsidRPr="000E6CF7" w:rsidRDefault="000E6CF7" w:rsidP="000E6CF7">
      <w:pPr>
        <w:pStyle w:val="Telobesedila"/>
        <w:rPr>
          <w:b w:val="0"/>
          <w:color w:val="000000"/>
        </w:rPr>
      </w:pPr>
      <w:r w:rsidRPr="000E6CF7">
        <w:rPr>
          <w:b w:val="0"/>
          <w:color w:val="000000"/>
        </w:rPr>
        <w:t>Časovni načrt:</w:t>
      </w:r>
    </w:p>
    <w:p w:rsidR="000E6CF7" w:rsidRPr="000E6CF7" w:rsidRDefault="000E6CF7" w:rsidP="000E6CF7">
      <w:pPr>
        <w:pStyle w:val="Telobesedila"/>
        <w:rPr>
          <w:b w:val="0"/>
          <w:color w:val="000000"/>
        </w:rPr>
      </w:pPr>
      <w:r w:rsidRPr="000E6CF7">
        <w:rPr>
          <w:b w:val="0"/>
          <w:color w:val="000000"/>
        </w:rPr>
        <w:t>2020: Izdelava in potrditev investicijskega programa. Uvrstitev nepremičnine v občinski načrt ravnanja s stvarnim premoženjem. Pogajanja z zavarovalnico Generali o ceni zgradbe (Občina Piran ima po zakonu na nepremičnini predkupno pravico). Umestitev potrebnih sredstev v proračun za leto 2021 in načrte razvojnih programov.</w:t>
      </w:r>
    </w:p>
    <w:p w:rsidR="000E6CF7" w:rsidRPr="000E6CF7" w:rsidRDefault="000E6CF7" w:rsidP="000E6CF7">
      <w:pPr>
        <w:pStyle w:val="Telobesedila"/>
        <w:rPr>
          <w:b w:val="0"/>
          <w:color w:val="000000"/>
        </w:rPr>
      </w:pPr>
      <w:r w:rsidRPr="000E6CF7">
        <w:rPr>
          <w:b w:val="0"/>
          <w:color w:val="000000"/>
        </w:rPr>
        <w:t>2021: Nakup zgradbe. Izdelava projektne dokumentacije za načrtovane posege. Ureditev Muzeja baročnih glasbil. Ureditev pisarn.</w:t>
      </w:r>
    </w:p>
    <w:p w:rsidR="000E6CF7" w:rsidRPr="000E6CF7" w:rsidRDefault="000E6CF7" w:rsidP="000E6CF7">
      <w:pPr>
        <w:pStyle w:val="Telobesedila"/>
        <w:rPr>
          <w:b w:val="0"/>
          <w:color w:val="000000"/>
        </w:rPr>
      </w:pPr>
      <w:r w:rsidRPr="000E6CF7">
        <w:rPr>
          <w:b w:val="0"/>
          <w:color w:val="000000"/>
        </w:rPr>
        <w:t>2022: Izboljšava akustike velike dvorane.</w:t>
      </w:r>
    </w:p>
    <w:p w:rsidR="000E6CF7" w:rsidRPr="000E6CF7" w:rsidRDefault="000E6CF7" w:rsidP="000E6CF7">
      <w:pPr>
        <w:pStyle w:val="Telobesedila"/>
        <w:rPr>
          <w:b w:val="0"/>
          <w:color w:val="000000"/>
        </w:rPr>
      </w:pPr>
      <w:r w:rsidRPr="000E6CF7">
        <w:rPr>
          <w:b w:val="0"/>
          <w:color w:val="000000"/>
        </w:rPr>
        <w:t>2023: Ureditev specializirane knjižnice in bivalnih prostorov za gostujoče glasbenike.</w:t>
      </w:r>
    </w:p>
    <w:p w:rsidR="000E6CF7" w:rsidRPr="000E6CF7" w:rsidRDefault="000E6CF7" w:rsidP="000E6CF7">
      <w:pPr>
        <w:pStyle w:val="Telobesedila"/>
        <w:rPr>
          <w:i/>
          <w:color w:val="000000"/>
        </w:rPr>
      </w:pPr>
      <w:r w:rsidRPr="000E6CF7">
        <w:rPr>
          <w:color w:val="000000"/>
        </w:rPr>
        <w:t> </w:t>
      </w:r>
    </w:p>
    <w:p w:rsidR="000E6CF7" w:rsidRPr="000E6CF7" w:rsidRDefault="000E6CF7" w:rsidP="000E6CF7">
      <w:pPr>
        <w:pStyle w:val="Telobesedila"/>
        <w:rPr>
          <w:b w:val="0"/>
          <w:bCs w:val="0"/>
          <w:color w:val="000000"/>
          <w:u w:val="single"/>
        </w:rPr>
      </w:pPr>
      <w:r w:rsidRPr="000E6CF7">
        <w:rPr>
          <w:b w:val="0"/>
          <w:bCs w:val="0"/>
          <w:i/>
          <w:color w:val="000000"/>
          <w:u w:val="single"/>
        </w:rPr>
        <w:t>Medgeneracijski kulturni center</w:t>
      </w:r>
    </w:p>
    <w:p w:rsidR="000E6CF7" w:rsidRPr="000E6CF7" w:rsidRDefault="000E6CF7" w:rsidP="000E6CF7">
      <w:pPr>
        <w:pStyle w:val="Telobesedila"/>
        <w:rPr>
          <w:b w:val="0"/>
          <w:color w:val="000000"/>
        </w:rPr>
      </w:pPr>
      <w:r w:rsidRPr="000E6CF7">
        <w:rPr>
          <w:b w:val="0"/>
          <w:color w:val="000000"/>
        </w:rPr>
        <w:t xml:space="preserve">Lokacija za Medgeneracijski kulturni center je predvidena v neposredni bližini morja. Objekt </w:t>
      </w:r>
      <w:proofErr w:type="spellStart"/>
      <w:r w:rsidRPr="000E6CF7">
        <w:rPr>
          <w:b w:val="0"/>
          <w:color w:val="000000"/>
        </w:rPr>
        <w:t>etažnosti</w:t>
      </w:r>
      <w:proofErr w:type="spellEnd"/>
      <w:r w:rsidRPr="000E6CF7">
        <w:rPr>
          <w:b w:val="0"/>
          <w:color w:val="000000"/>
        </w:rPr>
        <w:t xml:space="preserve"> K+P+2 bo imel približno 2.900 m2 uporabne površine. Stik z morjem bo omogočen preko novega zunanjega trga, ki bo služil za prireditve na prostem in vsakdanje dejavnosti občanov. Občina Izola je izdelala Dokument identifikacije investicijskega projekta in odkupila večji del potrebnih zemljišč.</w:t>
      </w:r>
    </w:p>
    <w:p w:rsidR="000E6CF7" w:rsidRPr="000E6CF7" w:rsidRDefault="000E6CF7" w:rsidP="000E6CF7">
      <w:pPr>
        <w:pStyle w:val="Telobesedila"/>
        <w:rPr>
          <w:b w:val="0"/>
          <w:color w:val="000000"/>
        </w:rPr>
      </w:pPr>
      <w:r w:rsidRPr="000E6CF7">
        <w:rPr>
          <w:b w:val="0"/>
          <w:color w:val="000000"/>
        </w:rPr>
        <w:t>Za dokončanje investicije je potrebno še:</w:t>
      </w:r>
    </w:p>
    <w:p w:rsidR="000E6CF7" w:rsidRPr="000E6CF7" w:rsidRDefault="000E6CF7" w:rsidP="000E6CF7">
      <w:pPr>
        <w:pStyle w:val="Telobesedila"/>
        <w:rPr>
          <w:b w:val="0"/>
          <w:color w:val="000000"/>
        </w:rPr>
      </w:pPr>
      <w:r w:rsidRPr="000E6CF7">
        <w:rPr>
          <w:b w:val="0"/>
          <w:color w:val="000000"/>
        </w:rPr>
        <w:t>2021: Izdelava ustreznega prostorskega izvedbenega akta – OPPN. Odkup preostanka zemljišč. Izvedba arhitekturnega natečaja in izbor rešitve.</w:t>
      </w:r>
    </w:p>
    <w:p w:rsidR="000E6CF7" w:rsidRPr="000E6CF7" w:rsidRDefault="000E6CF7" w:rsidP="000E6CF7">
      <w:pPr>
        <w:pStyle w:val="Telobesedila"/>
        <w:rPr>
          <w:b w:val="0"/>
          <w:color w:val="000000"/>
        </w:rPr>
      </w:pPr>
      <w:r w:rsidRPr="000E6CF7">
        <w:rPr>
          <w:b w:val="0"/>
          <w:color w:val="000000"/>
        </w:rPr>
        <w:t>2022: Izdelava in potrditev investicijskega programa. Izdelava projektne dokumentacije DGD in PZI ter pridobitev gradbenega dovoljenja. Izvedba javnega razpisa za izbor izvajalca gradbenih del in strokovnega nadzora.</w:t>
      </w:r>
    </w:p>
    <w:p w:rsidR="000E6CF7" w:rsidRPr="000E6CF7" w:rsidRDefault="000E6CF7" w:rsidP="000E6CF7">
      <w:pPr>
        <w:pStyle w:val="Telobesedila"/>
        <w:rPr>
          <w:b w:val="0"/>
          <w:color w:val="000000"/>
        </w:rPr>
      </w:pPr>
      <w:r w:rsidRPr="000E6CF7">
        <w:rPr>
          <w:b w:val="0"/>
          <w:color w:val="000000"/>
        </w:rPr>
        <w:t>2023:  V začetku leta je predviden pričetek gradnje. Gradnja.</w:t>
      </w:r>
    </w:p>
    <w:p w:rsidR="000E6CF7" w:rsidRPr="000E6CF7" w:rsidRDefault="000E6CF7" w:rsidP="000E6CF7">
      <w:pPr>
        <w:pStyle w:val="Telobesedila"/>
        <w:rPr>
          <w:b w:val="0"/>
          <w:color w:val="000000"/>
        </w:rPr>
      </w:pPr>
      <w:r w:rsidRPr="000E6CF7">
        <w:rPr>
          <w:b w:val="0"/>
          <w:color w:val="000000"/>
        </w:rPr>
        <w:t>2024: Nadaljevanje in zaključek gradnje, dobava in namestitev opreme, izvedba zunanje ureditve. Izdelava PID, tehnični pregled in pridobitev uporabnega dovoljenja. Slavnostna otvoritev.</w:t>
      </w:r>
    </w:p>
    <w:p w:rsidR="000E6CF7" w:rsidRPr="000E6CF7" w:rsidRDefault="000E6CF7" w:rsidP="000E6CF7">
      <w:pPr>
        <w:pStyle w:val="Telobesedila"/>
        <w:rPr>
          <w:i/>
          <w:color w:val="000000"/>
        </w:rPr>
      </w:pPr>
      <w:r w:rsidRPr="000E6CF7">
        <w:rPr>
          <w:color w:val="000000"/>
        </w:rPr>
        <w:t> </w:t>
      </w:r>
    </w:p>
    <w:p w:rsidR="000E6CF7" w:rsidRPr="000E6CF7" w:rsidRDefault="000E6CF7" w:rsidP="000E6CF7">
      <w:pPr>
        <w:pStyle w:val="Telobesedila"/>
        <w:rPr>
          <w:b w:val="0"/>
          <w:bCs w:val="0"/>
          <w:color w:val="000000"/>
          <w:u w:val="single"/>
        </w:rPr>
      </w:pPr>
      <w:r w:rsidRPr="00C12524">
        <w:rPr>
          <w:b w:val="0"/>
          <w:bCs w:val="0"/>
          <w:i/>
          <w:color w:val="000000"/>
          <w:u w:val="single"/>
        </w:rPr>
        <w:t xml:space="preserve">Skladišče </w:t>
      </w:r>
      <w:proofErr w:type="spellStart"/>
      <w:r w:rsidRPr="00C12524">
        <w:rPr>
          <w:b w:val="0"/>
          <w:bCs w:val="0"/>
          <w:i/>
          <w:color w:val="000000"/>
          <w:u w:val="single"/>
        </w:rPr>
        <w:t>Libertas</w:t>
      </w:r>
      <w:proofErr w:type="spellEnd"/>
      <w:r w:rsidRPr="00C12524">
        <w:rPr>
          <w:b w:val="0"/>
          <w:bCs w:val="0"/>
          <w:i/>
          <w:color w:val="000000"/>
          <w:u w:val="single"/>
        </w:rPr>
        <w:t> </w:t>
      </w:r>
      <w:r w:rsidRPr="000E6CF7">
        <w:rPr>
          <w:b w:val="0"/>
          <w:bCs w:val="0"/>
          <w:color w:val="000000"/>
          <w:u w:val="single"/>
        </w:rPr>
        <w:t>– </w:t>
      </w:r>
      <w:r w:rsidRPr="00C12524">
        <w:rPr>
          <w:b w:val="0"/>
          <w:bCs w:val="0"/>
          <w:i/>
          <w:color w:val="000000"/>
          <w:u w:val="single"/>
        </w:rPr>
        <w:t>center kreativnih industrij, start-up stičišče in prireditveni center</w:t>
      </w:r>
    </w:p>
    <w:p w:rsidR="000E6CF7" w:rsidRPr="000E6CF7" w:rsidRDefault="000E6CF7" w:rsidP="000E6CF7">
      <w:pPr>
        <w:pStyle w:val="Telobesedila"/>
        <w:rPr>
          <w:b w:val="0"/>
          <w:color w:val="000000"/>
        </w:rPr>
      </w:pPr>
      <w:r w:rsidRPr="00C12524">
        <w:rPr>
          <w:b w:val="0"/>
          <w:color w:val="000000"/>
        </w:rPr>
        <w:t xml:space="preserve">Mestna občina Koper bo odkupila nekdanje skladišče soli </w:t>
      </w:r>
      <w:proofErr w:type="spellStart"/>
      <w:r w:rsidRPr="00C12524">
        <w:rPr>
          <w:b w:val="0"/>
          <w:color w:val="000000"/>
        </w:rPr>
        <w:t>Libertas</w:t>
      </w:r>
      <w:proofErr w:type="spellEnd"/>
      <w:r w:rsidRPr="00C12524">
        <w:rPr>
          <w:b w:val="0"/>
          <w:color w:val="000000"/>
        </w:rPr>
        <w:t xml:space="preserve"> (približno 1.200 m2) in v njem uredila center kreativnih industrij in regijsko start-up stičišče. </w:t>
      </w:r>
      <w:r w:rsidRPr="000E6CF7">
        <w:rPr>
          <w:b w:val="0"/>
          <w:color w:val="000000"/>
        </w:rPr>
        <w:t>Načrtovana sta odkup in preureditev stavbe, ki bo vsebovala prireditveni prostor, pisarniški del za start-upe in pomožne prostore.</w:t>
      </w:r>
    </w:p>
    <w:p w:rsidR="000E6CF7" w:rsidRPr="000E6CF7" w:rsidRDefault="000E6CF7" w:rsidP="000E6CF7">
      <w:pPr>
        <w:pStyle w:val="Telobesedila"/>
        <w:rPr>
          <w:b w:val="0"/>
          <w:color w:val="000000"/>
        </w:rPr>
      </w:pPr>
      <w:r w:rsidRPr="000E6CF7">
        <w:rPr>
          <w:b w:val="0"/>
          <w:color w:val="000000"/>
        </w:rPr>
        <w:t>Občina je v fazi odkupa nepremičnine. Za dokončanje investicije so načrtovane naslednje aktivnosti:</w:t>
      </w:r>
    </w:p>
    <w:p w:rsidR="000E6CF7" w:rsidRPr="000E6CF7" w:rsidRDefault="000E6CF7" w:rsidP="000E6CF7">
      <w:pPr>
        <w:pStyle w:val="Telobesedila"/>
        <w:rPr>
          <w:b w:val="0"/>
          <w:color w:val="000000"/>
        </w:rPr>
      </w:pPr>
      <w:r w:rsidRPr="000E6CF7">
        <w:rPr>
          <w:b w:val="0"/>
          <w:color w:val="000000"/>
        </w:rPr>
        <w:t>2020: Nakup nepremičnine in pridobitev v posest, pogovori z ZVKDS, izdelava projektnih zasnov.</w:t>
      </w:r>
    </w:p>
    <w:p w:rsidR="000E6CF7" w:rsidRPr="000E6CF7" w:rsidRDefault="000E6CF7" w:rsidP="000E6CF7">
      <w:pPr>
        <w:pStyle w:val="Telobesedila"/>
        <w:rPr>
          <w:b w:val="0"/>
          <w:color w:val="000000"/>
        </w:rPr>
      </w:pPr>
      <w:r w:rsidRPr="000E6CF7">
        <w:rPr>
          <w:b w:val="0"/>
          <w:color w:val="000000"/>
        </w:rPr>
        <w:lastRenderedPageBreak/>
        <w:t>2021: Vpis stavbe v evidenco kulturne dediščine, izdelava Dokumenta identifikacije investicijskega projekta, izdelava projektne dokumentacije DGD in PZI, pridobitev gradbenega dovoljenja.</w:t>
      </w:r>
    </w:p>
    <w:p w:rsidR="000E6CF7" w:rsidRPr="000E6CF7" w:rsidRDefault="000E6CF7" w:rsidP="000E6CF7">
      <w:pPr>
        <w:pStyle w:val="Telobesedila"/>
        <w:rPr>
          <w:b w:val="0"/>
          <w:color w:val="000000"/>
        </w:rPr>
      </w:pPr>
      <w:r w:rsidRPr="000E6CF7">
        <w:rPr>
          <w:b w:val="0"/>
          <w:color w:val="000000"/>
        </w:rPr>
        <w:t>2022: Izvedba javnega naročila za izbor izvajalca gradbenih, obrtniških in inštalacijskih del ter opreme, izbor izvajalca strokovnega nadzora nad gradnjo. Začetek gradnje.</w:t>
      </w:r>
    </w:p>
    <w:p w:rsidR="000E6CF7" w:rsidRPr="000E6CF7" w:rsidRDefault="000E6CF7" w:rsidP="000E6CF7">
      <w:pPr>
        <w:pStyle w:val="Telobesedila"/>
        <w:rPr>
          <w:b w:val="0"/>
          <w:color w:val="000000"/>
        </w:rPr>
      </w:pPr>
      <w:r w:rsidRPr="000E6CF7">
        <w:rPr>
          <w:b w:val="0"/>
          <w:color w:val="000000"/>
        </w:rPr>
        <w:t>2023: Dokončanje gradnje, montaža in namestitev opreme, pridobitev uporabnega dovoljenja. Primopredaja objekta investitorju.</w:t>
      </w:r>
    </w:p>
    <w:p w:rsidR="000E6CF7" w:rsidRPr="000E6CF7" w:rsidRDefault="000E6CF7" w:rsidP="000E6CF7">
      <w:pPr>
        <w:pStyle w:val="Telobesedila"/>
        <w:rPr>
          <w:i/>
          <w:color w:val="000000"/>
        </w:rPr>
      </w:pPr>
      <w:r w:rsidRPr="000E6CF7">
        <w:rPr>
          <w:color w:val="000000"/>
        </w:rPr>
        <w:t> </w:t>
      </w:r>
    </w:p>
    <w:p w:rsidR="000E6CF7" w:rsidRPr="000E6CF7" w:rsidRDefault="000E6CF7" w:rsidP="000E6CF7">
      <w:pPr>
        <w:pStyle w:val="Telobesedila"/>
        <w:rPr>
          <w:b w:val="0"/>
          <w:bCs w:val="0"/>
          <w:color w:val="000000"/>
          <w:u w:val="single"/>
        </w:rPr>
      </w:pPr>
      <w:r w:rsidRPr="000E6CF7">
        <w:rPr>
          <w:b w:val="0"/>
          <w:bCs w:val="0"/>
          <w:i/>
          <w:color w:val="000000"/>
          <w:u w:val="single"/>
        </w:rPr>
        <w:t xml:space="preserve">Forum </w:t>
      </w:r>
      <w:proofErr w:type="spellStart"/>
      <w:r w:rsidRPr="000E6CF7">
        <w:rPr>
          <w:b w:val="0"/>
          <w:bCs w:val="0"/>
          <w:i/>
          <w:color w:val="000000"/>
          <w:u w:val="single"/>
        </w:rPr>
        <w:t>Babylon</w:t>
      </w:r>
      <w:proofErr w:type="spellEnd"/>
    </w:p>
    <w:p w:rsidR="000E6CF7" w:rsidRPr="000E6CF7" w:rsidRDefault="000E6CF7" w:rsidP="000E6CF7">
      <w:pPr>
        <w:pStyle w:val="Telobesedila"/>
        <w:rPr>
          <w:b w:val="0"/>
          <w:color w:val="000000"/>
        </w:rPr>
      </w:pPr>
      <w:r w:rsidRPr="000E6CF7">
        <w:rPr>
          <w:b w:val="0"/>
          <w:color w:val="000000"/>
        </w:rPr>
        <w:t>Investicija bo omogočila infrastrukturo za vzpostavitev mednarodnega rezidenčnega in delovnega centra za prevajalce, pesnike in pisatelje. Rezidenčni del bo urejen v nekdanji rezidenci generalnega konzula Republike Italije v Kopru, prevajalska pisarna pa na Kidričevi ulici 43 v Kopru. Oba prostora sta v lasti in posesti Mestne občine Koper. Izdelani so načrti in popisi del za prenovo ter usposobitev prostorov.</w:t>
      </w:r>
    </w:p>
    <w:p w:rsidR="000E6CF7" w:rsidRPr="000E6CF7" w:rsidRDefault="000E6CF7" w:rsidP="000E6CF7">
      <w:pPr>
        <w:pStyle w:val="Telobesedila"/>
        <w:rPr>
          <w:b w:val="0"/>
          <w:color w:val="000000"/>
        </w:rPr>
      </w:pPr>
      <w:r w:rsidRPr="000E6CF7">
        <w:rPr>
          <w:b w:val="0"/>
          <w:color w:val="000000"/>
        </w:rPr>
        <w:t>V letu 2020 bo izdelan Dokument identifikacije investicijskega projekta, v letu 2021 pa izvedena prenova obeh nepremičnin.</w:t>
      </w:r>
    </w:p>
    <w:p w:rsidR="00043DBC" w:rsidRDefault="00043DBC" w:rsidP="000E6CF7">
      <w:pPr>
        <w:pStyle w:val="Telobesedila"/>
        <w:rPr>
          <w:b w:val="0"/>
          <w:bCs w:val="0"/>
          <w:i/>
          <w:color w:val="000000"/>
          <w:u w:val="single"/>
        </w:rPr>
      </w:pPr>
    </w:p>
    <w:p w:rsidR="000E6CF7" w:rsidRPr="000E6CF7" w:rsidRDefault="000E6CF7" w:rsidP="000E6CF7">
      <w:pPr>
        <w:pStyle w:val="Telobesedila"/>
        <w:rPr>
          <w:b w:val="0"/>
          <w:bCs w:val="0"/>
          <w:color w:val="000000"/>
          <w:u w:val="single"/>
        </w:rPr>
      </w:pPr>
      <w:r w:rsidRPr="000E6CF7">
        <w:rPr>
          <w:b w:val="0"/>
          <w:bCs w:val="0"/>
          <w:i/>
          <w:color w:val="000000"/>
          <w:u w:val="single"/>
        </w:rPr>
        <w:t>Plavajoči oder</w:t>
      </w:r>
    </w:p>
    <w:p w:rsidR="000E6CF7" w:rsidRPr="000E6CF7" w:rsidRDefault="000E6CF7" w:rsidP="000E6CF7">
      <w:pPr>
        <w:pStyle w:val="Telobesedila"/>
        <w:rPr>
          <w:b w:val="0"/>
        </w:rPr>
      </w:pPr>
      <w:r w:rsidRPr="000E6CF7">
        <w:rPr>
          <w:b w:val="0"/>
          <w:color w:val="000000"/>
        </w:rPr>
        <w:t>Občina Ankaran je zadolžena za realizacijo investicije v plavajoči oder. Pripravljeni so programska zasnova in osnovne tehnične zahteve, ki jih mora mobilni plavajoči oder izpolnjevati. V letu 2021 bo občina ugotovila, ali na trgu obstaja primeren gotov izdelek ali pa bo treba plavajoči objekt izdelati po posebnih specifikacijah. V kolikor primernih izdelkov ni na trgu, bo treba izdelati projektno in investicijsko dokumentacijo (DIIP in investicijski program) ter izvesti javno naročilo za izbor izdelovalca – dobavitelja v letu 2023. Plovilo bo treba atestirati za obalno morsko plovbo in pridobiti uporabno dovoljenje. Dobava je načrtovana v letu 2024.</w:t>
      </w:r>
    </w:p>
    <w:p w:rsidR="000E6CF7" w:rsidRPr="000E6CF7" w:rsidRDefault="000E6CF7" w:rsidP="000E6CF7">
      <w:pPr>
        <w:jc w:val="both"/>
      </w:pPr>
    </w:p>
    <w:p w:rsidR="000E6CF7" w:rsidRPr="000E6CF7" w:rsidRDefault="000E6CF7" w:rsidP="000E6CF7">
      <w:pPr>
        <w:jc w:val="both"/>
        <w:rPr>
          <w:b/>
          <w:bCs/>
          <w:u w:val="single"/>
        </w:rPr>
      </w:pPr>
      <w:r w:rsidRPr="000E6CF7">
        <w:rPr>
          <w:b/>
          <w:bCs/>
          <w:u w:val="single"/>
        </w:rPr>
        <w:t>FINANČNI NAČRT</w:t>
      </w:r>
    </w:p>
    <w:p w:rsidR="000E6CF7" w:rsidRPr="000E6CF7" w:rsidRDefault="000E6CF7" w:rsidP="000E6C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304"/>
        <w:gridCol w:w="1303"/>
        <w:gridCol w:w="1346"/>
        <w:gridCol w:w="1318"/>
      </w:tblGrid>
      <w:tr w:rsidR="000E6CF7" w:rsidRPr="000E6CF7" w:rsidTr="00043DBC">
        <w:trPr>
          <w:jc w:val="center"/>
        </w:trPr>
        <w:tc>
          <w:tcPr>
            <w:tcW w:w="3623" w:type="dxa"/>
            <w:shd w:val="clear" w:color="auto" w:fill="auto"/>
            <w:vAlign w:val="center"/>
          </w:tcPr>
          <w:p w:rsidR="000E6CF7" w:rsidRPr="000E6CF7" w:rsidRDefault="000E6CF7" w:rsidP="008F4FC2">
            <w:pPr>
              <w:rPr>
                <w:b/>
              </w:rPr>
            </w:pPr>
            <w:bookmarkStart w:id="0" w:name="_Hlk54109238"/>
            <w:r w:rsidRPr="000E6CF7">
              <w:rPr>
                <w:b/>
              </w:rPr>
              <w:t>Skupni prihodek za kritje odhodkov iz poslovanja</w:t>
            </w:r>
          </w:p>
          <w:p w:rsidR="000E6CF7" w:rsidRPr="000E6CF7" w:rsidRDefault="000E6CF7" w:rsidP="008F4FC2">
            <w:pPr>
              <w:rPr>
                <w:b/>
              </w:rPr>
            </w:pPr>
            <w:r w:rsidRPr="000E6CF7">
              <w:rPr>
                <w:b/>
              </w:rPr>
              <w:t>(v evrih)</w:t>
            </w:r>
          </w:p>
        </w:tc>
        <w:tc>
          <w:tcPr>
            <w:tcW w:w="1304" w:type="dxa"/>
            <w:shd w:val="clear" w:color="auto" w:fill="auto"/>
            <w:vAlign w:val="center"/>
          </w:tcPr>
          <w:p w:rsidR="000E6CF7" w:rsidRPr="000E6CF7" w:rsidRDefault="000E6CF7" w:rsidP="008F4FC2">
            <w:pPr>
              <w:rPr>
                <w:b/>
              </w:rPr>
            </w:pPr>
            <w:r w:rsidRPr="000E6CF7">
              <w:rPr>
                <w:b/>
              </w:rPr>
              <w:t xml:space="preserve">Iz javnega sektorja </w:t>
            </w:r>
          </w:p>
          <w:p w:rsidR="000E6CF7" w:rsidRPr="000E6CF7" w:rsidRDefault="000E6CF7" w:rsidP="008F4FC2">
            <w:pPr>
              <w:rPr>
                <w:b/>
              </w:rPr>
            </w:pPr>
            <w:r w:rsidRPr="000E6CF7">
              <w:rPr>
                <w:b/>
              </w:rPr>
              <w:t>(v evrih)</w:t>
            </w:r>
          </w:p>
        </w:tc>
        <w:tc>
          <w:tcPr>
            <w:tcW w:w="1303" w:type="dxa"/>
            <w:shd w:val="clear" w:color="auto" w:fill="auto"/>
            <w:vAlign w:val="center"/>
          </w:tcPr>
          <w:p w:rsidR="000E6CF7" w:rsidRPr="000E6CF7" w:rsidRDefault="000E6CF7" w:rsidP="008F4FC2">
            <w:pPr>
              <w:rPr>
                <w:b/>
              </w:rPr>
            </w:pPr>
            <w:r w:rsidRPr="000E6CF7">
              <w:rPr>
                <w:b/>
              </w:rPr>
              <w:t xml:space="preserve">Iz javnega sektorja </w:t>
            </w:r>
          </w:p>
          <w:p w:rsidR="000E6CF7" w:rsidRPr="000E6CF7" w:rsidRDefault="000E6CF7" w:rsidP="008F4FC2">
            <w:pPr>
              <w:rPr>
                <w:b/>
              </w:rPr>
            </w:pPr>
            <w:r w:rsidRPr="000E6CF7">
              <w:rPr>
                <w:b/>
              </w:rPr>
              <w:t>(v %)</w:t>
            </w:r>
          </w:p>
        </w:tc>
        <w:tc>
          <w:tcPr>
            <w:tcW w:w="1346" w:type="dxa"/>
            <w:shd w:val="clear" w:color="auto" w:fill="auto"/>
            <w:vAlign w:val="center"/>
          </w:tcPr>
          <w:p w:rsidR="000E6CF7" w:rsidRPr="000E6CF7" w:rsidRDefault="000E6CF7" w:rsidP="008F4FC2">
            <w:pPr>
              <w:rPr>
                <w:b/>
              </w:rPr>
            </w:pPr>
            <w:r w:rsidRPr="000E6CF7">
              <w:rPr>
                <w:b/>
              </w:rPr>
              <w:t xml:space="preserve">Iz zasebnega sektorja </w:t>
            </w:r>
          </w:p>
          <w:p w:rsidR="000E6CF7" w:rsidRPr="000E6CF7" w:rsidRDefault="000E6CF7" w:rsidP="008F4FC2">
            <w:r w:rsidRPr="000E6CF7">
              <w:rPr>
                <w:b/>
              </w:rPr>
              <w:t>(v evrih)</w:t>
            </w:r>
          </w:p>
        </w:tc>
        <w:tc>
          <w:tcPr>
            <w:tcW w:w="1318" w:type="dxa"/>
            <w:shd w:val="clear" w:color="auto" w:fill="auto"/>
            <w:vAlign w:val="center"/>
          </w:tcPr>
          <w:p w:rsidR="000E6CF7" w:rsidRPr="000E6CF7" w:rsidRDefault="000E6CF7" w:rsidP="008F4FC2">
            <w:pPr>
              <w:rPr>
                <w:b/>
              </w:rPr>
            </w:pPr>
            <w:r w:rsidRPr="000E6CF7">
              <w:rPr>
                <w:b/>
              </w:rPr>
              <w:t>Iz zasebnega sektorja</w:t>
            </w:r>
          </w:p>
          <w:p w:rsidR="000E6CF7" w:rsidRPr="000E6CF7" w:rsidRDefault="000E6CF7" w:rsidP="008F4FC2">
            <w:pPr>
              <w:rPr>
                <w:b/>
              </w:rPr>
            </w:pPr>
            <w:r w:rsidRPr="000E6CF7">
              <w:rPr>
                <w:b/>
              </w:rPr>
              <w:t xml:space="preserve">(v %) </w:t>
            </w:r>
          </w:p>
        </w:tc>
      </w:tr>
      <w:tr w:rsidR="000E6CF7" w:rsidRPr="000E6CF7" w:rsidTr="00043DBC">
        <w:trPr>
          <w:jc w:val="center"/>
        </w:trPr>
        <w:tc>
          <w:tcPr>
            <w:tcW w:w="3623" w:type="dxa"/>
            <w:shd w:val="clear" w:color="auto" w:fill="auto"/>
          </w:tcPr>
          <w:p w:rsidR="000E6CF7" w:rsidRPr="000E6CF7" w:rsidRDefault="000E6CF7" w:rsidP="008F4FC2">
            <w:pPr>
              <w:rPr>
                <w:b/>
              </w:rPr>
            </w:pPr>
            <w:r w:rsidRPr="000E6CF7">
              <w:rPr>
                <w:b/>
              </w:rPr>
              <w:t>26.690.000</w:t>
            </w:r>
          </w:p>
        </w:tc>
        <w:tc>
          <w:tcPr>
            <w:tcW w:w="1304" w:type="dxa"/>
            <w:shd w:val="clear" w:color="auto" w:fill="auto"/>
          </w:tcPr>
          <w:p w:rsidR="000E6CF7" w:rsidRPr="000E6CF7" w:rsidRDefault="000E6CF7" w:rsidP="008F4FC2">
            <w:pPr>
              <w:rPr>
                <w:b/>
              </w:rPr>
            </w:pPr>
            <w:r w:rsidRPr="000E6CF7">
              <w:rPr>
                <w:b/>
              </w:rPr>
              <w:t>24.990.000</w:t>
            </w:r>
          </w:p>
        </w:tc>
        <w:tc>
          <w:tcPr>
            <w:tcW w:w="1303" w:type="dxa"/>
            <w:shd w:val="clear" w:color="auto" w:fill="auto"/>
          </w:tcPr>
          <w:p w:rsidR="000E6CF7" w:rsidRPr="000E6CF7" w:rsidRDefault="000E6CF7" w:rsidP="008F4FC2">
            <w:pPr>
              <w:rPr>
                <w:b/>
              </w:rPr>
            </w:pPr>
            <w:r w:rsidRPr="000E6CF7">
              <w:rPr>
                <w:b/>
              </w:rPr>
              <w:t>92,59%</w:t>
            </w:r>
          </w:p>
        </w:tc>
        <w:tc>
          <w:tcPr>
            <w:tcW w:w="1346" w:type="dxa"/>
            <w:shd w:val="clear" w:color="auto" w:fill="auto"/>
          </w:tcPr>
          <w:p w:rsidR="000E6CF7" w:rsidRPr="000E6CF7" w:rsidRDefault="000E6CF7" w:rsidP="008F4FC2">
            <w:pPr>
              <w:rPr>
                <w:b/>
              </w:rPr>
            </w:pPr>
            <w:r w:rsidRPr="000E6CF7">
              <w:rPr>
                <w:b/>
              </w:rPr>
              <w:t>1.700.000</w:t>
            </w:r>
          </w:p>
          <w:p w:rsidR="000E6CF7" w:rsidRPr="000E6CF7" w:rsidRDefault="000E6CF7" w:rsidP="008F4FC2">
            <w:pPr>
              <w:rPr>
                <w:b/>
              </w:rPr>
            </w:pPr>
          </w:p>
        </w:tc>
        <w:tc>
          <w:tcPr>
            <w:tcW w:w="1318" w:type="dxa"/>
            <w:shd w:val="clear" w:color="auto" w:fill="auto"/>
          </w:tcPr>
          <w:p w:rsidR="000E6CF7" w:rsidRPr="000E6CF7" w:rsidRDefault="000E6CF7" w:rsidP="008F4FC2">
            <w:pPr>
              <w:rPr>
                <w:b/>
              </w:rPr>
            </w:pPr>
            <w:r w:rsidRPr="000E6CF7">
              <w:rPr>
                <w:b/>
              </w:rPr>
              <w:t>7,41%</w:t>
            </w:r>
          </w:p>
        </w:tc>
      </w:tr>
      <w:bookmarkEnd w:id="0"/>
    </w:tbl>
    <w:p w:rsidR="000E6CF7" w:rsidRPr="000E6CF7" w:rsidRDefault="000E6CF7" w:rsidP="000E6CF7">
      <w:pPr>
        <w:shd w:val="clear" w:color="auto" w:fill="FFFFFF"/>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084"/>
        <w:gridCol w:w="1084"/>
        <w:gridCol w:w="1284"/>
        <w:gridCol w:w="1284"/>
        <w:gridCol w:w="1722"/>
      </w:tblGrid>
      <w:tr w:rsidR="000E6CF7" w:rsidRPr="000E6CF7" w:rsidTr="00043DBC">
        <w:trPr>
          <w:jc w:val="center"/>
        </w:trPr>
        <w:tc>
          <w:tcPr>
            <w:tcW w:w="2473" w:type="dxa"/>
            <w:shd w:val="clear" w:color="auto" w:fill="auto"/>
          </w:tcPr>
          <w:p w:rsidR="000E6CF7" w:rsidRPr="000E6CF7" w:rsidRDefault="000E6CF7" w:rsidP="008F4FC2">
            <w:pPr>
              <w:rPr>
                <w:b/>
              </w:rPr>
            </w:pPr>
            <w:bookmarkStart w:id="1" w:name="_Hlk54159465"/>
            <w:r w:rsidRPr="000E6CF7">
              <w:rPr>
                <w:b/>
              </w:rPr>
              <w:t>Vir prihodka za odhodke iz poslovanja</w:t>
            </w:r>
          </w:p>
        </w:tc>
        <w:tc>
          <w:tcPr>
            <w:tcW w:w="1084" w:type="dxa"/>
            <w:shd w:val="clear" w:color="auto" w:fill="auto"/>
          </w:tcPr>
          <w:p w:rsidR="000E6CF7" w:rsidRPr="000E6CF7" w:rsidRDefault="000E6CF7" w:rsidP="008F4FC2">
            <w:pPr>
              <w:jc w:val="both"/>
              <w:rPr>
                <w:b/>
              </w:rPr>
            </w:pPr>
            <w:r w:rsidRPr="000E6CF7">
              <w:rPr>
                <w:b/>
              </w:rPr>
              <w:t xml:space="preserve">Leto </w:t>
            </w:r>
            <w:r w:rsidRPr="000E6CF7">
              <w:t>-</w:t>
            </w:r>
            <w:r w:rsidRPr="000E6CF7">
              <w:rPr>
                <w:b/>
              </w:rPr>
              <w:t>4*</w:t>
            </w:r>
          </w:p>
          <w:p w:rsidR="000E6CF7" w:rsidRPr="000E6CF7" w:rsidRDefault="000E6CF7" w:rsidP="008F4FC2">
            <w:pPr>
              <w:jc w:val="both"/>
              <w:rPr>
                <w:b/>
              </w:rPr>
            </w:pPr>
            <w:r w:rsidRPr="000E6CF7">
              <w:rPr>
                <w:b/>
              </w:rPr>
              <w:t>2021</w:t>
            </w:r>
          </w:p>
        </w:tc>
        <w:tc>
          <w:tcPr>
            <w:tcW w:w="1084" w:type="dxa"/>
            <w:shd w:val="clear" w:color="auto" w:fill="auto"/>
          </w:tcPr>
          <w:p w:rsidR="000E6CF7" w:rsidRPr="000E6CF7" w:rsidRDefault="000E6CF7" w:rsidP="008F4FC2">
            <w:pPr>
              <w:jc w:val="both"/>
              <w:rPr>
                <w:b/>
              </w:rPr>
            </w:pPr>
            <w:r w:rsidRPr="000E6CF7">
              <w:rPr>
                <w:b/>
              </w:rPr>
              <w:t xml:space="preserve">Leto </w:t>
            </w:r>
            <w:r w:rsidRPr="000E6CF7">
              <w:t>-</w:t>
            </w:r>
            <w:r w:rsidRPr="000E6CF7">
              <w:rPr>
                <w:b/>
              </w:rPr>
              <w:t>3*</w:t>
            </w:r>
          </w:p>
          <w:p w:rsidR="000E6CF7" w:rsidRPr="000E6CF7" w:rsidRDefault="000E6CF7" w:rsidP="008F4FC2">
            <w:pPr>
              <w:jc w:val="both"/>
              <w:rPr>
                <w:b/>
              </w:rPr>
            </w:pPr>
            <w:r w:rsidRPr="000E6CF7">
              <w:rPr>
                <w:b/>
              </w:rPr>
              <w:t>2022</w:t>
            </w:r>
          </w:p>
        </w:tc>
        <w:tc>
          <w:tcPr>
            <w:tcW w:w="1284" w:type="dxa"/>
            <w:shd w:val="clear" w:color="auto" w:fill="auto"/>
          </w:tcPr>
          <w:p w:rsidR="000E6CF7" w:rsidRPr="000E6CF7" w:rsidRDefault="000E6CF7" w:rsidP="008F4FC2">
            <w:pPr>
              <w:jc w:val="both"/>
              <w:rPr>
                <w:b/>
              </w:rPr>
            </w:pPr>
            <w:r w:rsidRPr="000E6CF7">
              <w:rPr>
                <w:b/>
              </w:rPr>
              <w:t xml:space="preserve">Leto </w:t>
            </w:r>
            <w:r w:rsidRPr="000E6CF7">
              <w:t>-</w:t>
            </w:r>
            <w:r w:rsidRPr="000E6CF7">
              <w:rPr>
                <w:b/>
              </w:rPr>
              <w:t>2*</w:t>
            </w:r>
          </w:p>
          <w:p w:rsidR="000E6CF7" w:rsidRPr="000E6CF7" w:rsidRDefault="000E6CF7" w:rsidP="008F4FC2">
            <w:pPr>
              <w:jc w:val="both"/>
              <w:rPr>
                <w:b/>
              </w:rPr>
            </w:pPr>
            <w:r w:rsidRPr="000E6CF7">
              <w:rPr>
                <w:b/>
              </w:rPr>
              <w:t>2023</w:t>
            </w:r>
          </w:p>
        </w:tc>
        <w:tc>
          <w:tcPr>
            <w:tcW w:w="1284" w:type="dxa"/>
            <w:shd w:val="clear" w:color="auto" w:fill="auto"/>
          </w:tcPr>
          <w:p w:rsidR="000E6CF7" w:rsidRPr="000E6CF7" w:rsidRDefault="000E6CF7" w:rsidP="008F4FC2">
            <w:pPr>
              <w:jc w:val="both"/>
              <w:rPr>
                <w:b/>
              </w:rPr>
            </w:pPr>
            <w:r w:rsidRPr="000E6CF7">
              <w:rPr>
                <w:b/>
              </w:rPr>
              <w:t xml:space="preserve">Leto </w:t>
            </w:r>
            <w:r w:rsidRPr="000E6CF7">
              <w:t>-</w:t>
            </w:r>
            <w:r w:rsidRPr="000E6CF7">
              <w:rPr>
                <w:b/>
              </w:rPr>
              <w:t>1*</w:t>
            </w:r>
          </w:p>
          <w:p w:rsidR="000E6CF7" w:rsidRPr="000E6CF7" w:rsidRDefault="000E6CF7" w:rsidP="008F4FC2">
            <w:pPr>
              <w:jc w:val="both"/>
              <w:rPr>
                <w:b/>
              </w:rPr>
            </w:pPr>
            <w:r w:rsidRPr="000E6CF7">
              <w:rPr>
                <w:b/>
              </w:rPr>
              <w:t>2024</w:t>
            </w:r>
          </w:p>
        </w:tc>
        <w:tc>
          <w:tcPr>
            <w:tcW w:w="1722" w:type="dxa"/>
            <w:shd w:val="clear" w:color="auto" w:fill="auto"/>
          </w:tcPr>
          <w:p w:rsidR="000E6CF7" w:rsidRPr="000E6CF7" w:rsidRDefault="000E6CF7" w:rsidP="008F4FC2">
            <w:pPr>
              <w:jc w:val="both"/>
              <w:rPr>
                <w:b/>
              </w:rPr>
            </w:pPr>
            <w:r w:rsidRPr="000E6CF7">
              <w:rPr>
                <w:b/>
              </w:rPr>
              <w:t>Leto EPK</w:t>
            </w:r>
          </w:p>
          <w:p w:rsidR="000E6CF7" w:rsidRPr="000E6CF7" w:rsidRDefault="000E6CF7" w:rsidP="008F4FC2">
            <w:pPr>
              <w:jc w:val="both"/>
              <w:rPr>
                <w:b/>
              </w:rPr>
            </w:pPr>
            <w:r w:rsidRPr="000E6CF7">
              <w:rPr>
                <w:b/>
              </w:rPr>
              <w:t>2025</w:t>
            </w:r>
          </w:p>
        </w:tc>
      </w:tr>
      <w:tr w:rsidR="000E6CF7" w:rsidRPr="000E6CF7" w:rsidTr="00043DBC">
        <w:trPr>
          <w:jc w:val="center"/>
        </w:trPr>
        <w:tc>
          <w:tcPr>
            <w:tcW w:w="2473" w:type="dxa"/>
            <w:shd w:val="clear" w:color="auto" w:fill="auto"/>
          </w:tcPr>
          <w:p w:rsidR="000E6CF7" w:rsidRPr="000E6CF7" w:rsidRDefault="000E6CF7" w:rsidP="008F4FC2">
            <w:pPr>
              <w:jc w:val="both"/>
            </w:pPr>
            <w:r w:rsidRPr="000E6CF7">
              <w:t>EU</w:t>
            </w:r>
          </w:p>
        </w:tc>
        <w:tc>
          <w:tcPr>
            <w:tcW w:w="1084" w:type="dxa"/>
            <w:shd w:val="clear" w:color="auto" w:fill="auto"/>
          </w:tcPr>
          <w:p w:rsidR="000E6CF7" w:rsidRPr="000E6CF7" w:rsidRDefault="000E6CF7" w:rsidP="008F4FC2">
            <w:pPr>
              <w:jc w:val="both"/>
            </w:pPr>
          </w:p>
        </w:tc>
        <w:tc>
          <w:tcPr>
            <w:tcW w:w="1084" w:type="dxa"/>
            <w:shd w:val="clear" w:color="auto" w:fill="auto"/>
          </w:tcPr>
          <w:p w:rsidR="000E6CF7" w:rsidRPr="000E6CF7" w:rsidRDefault="000E6CF7" w:rsidP="008F4FC2">
            <w:pPr>
              <w:jc w:val="both"/>
            </w:pPr>
          </w:p>
        </w:tc>
        <w:tc>
          <w:tcPr>
            <w:tcW w:w="1284" w:type="dxa"/>
            <w:shd w:val="clear" w:color="auto" w:fill="auto"/>
          </w:tcPr>
          <w:p w:rsidR="000E6CF7" w:rsidRPr="000E6CF7" w:rsidRDefault="000E6CF7" w:rsidP="008F4FC2">
            <w:pPr>
              <w:jc w:val="both"/>
            </w:pPr>
            <w:r w:rsidRPr="000E6CF7">
              <w:t>225.000</w:t>
            </w:r>
          </w:p>
        </w:tc>
        <w:tc>
          <w:tcPr>
            <w:tcW w:w="1284" w:type="dxa"/>
            <w:shd w:val="clear" w:color="auto" w:fill="auto"/>
          </w:tcPr>
          <w:p w:rsidR="000E6CF7" w:rsidRPr="000E6CF7" w:rsidRDefault="000E6CF7" w:rsidP="008F4FC2">
            <w:pPr>
              <w:jc w:val="both"/>
            </w:pPr>
            <w:r w:rsidRPr="000E6CF7">
              <w:t>500.000</w:t>
            </w:r>
          </w:p>
        </w:tc>
        <w:tc>
          <w:tcPr>
            <w:tcW w:w="1722" w:type="dxa"/>
            <w:shd w:val="clear" w:color="auto" w:fill="auto"/>
          </w:tcPr>
          <w:p w:rsidR="000E6CF7" w:rsidRPr="000E6CF7" w:rsidRDefault="000E6CF7" w:rsidP="008F4FC2">
            <w:pPr>
              <w:jc w:val="both"/>
            </w:pPr>
            <w:r w:rsidRPr="000E6CF7">
              <w:t>800.000</w:t>
            </w:r>
          </w:p>
        </w:tc>
      </w:tr>
      <w:tr w:rsidR="000E6CF7" w:rsidRPr="000E6CF7" w:rsidTr="00043DBC">
        <w:trPr>
          <w:jc w:val="center"/>
        </w:trPr>
        <w:tc>
          <w:tcPr>
            <w:tcW w:w="2473" w:type="dxa"/>
            <w:shd w:val="clear" w:color="auto" w:fill="auto"/>
          </w:tcPr>
          <w:p w:rsidR="000E6CF7" w:rsidRPr="000E6CF7" w:rsidRDefault="000E6CF7" w:rsidP="008F4FC2">
            <w:pPr>
              <w:jc w:val="both"/>
            </w:pPr>
            <w:r w:rsidRPr="000E6CF7">
              <w:t>Vlada</w:t>
            </w:r>
          </w:p>
        </w:tc>
        <w:tc>
          <w:tcPr>
            <w:tcW w:w="1084" w:type="dxa"/>
            <w:shd w:val="clear" w:color="auto" w:fill="auto"/>
          </w:tcPr>
          <w:p w:rsidR="000E6CF7" w:rsidRPr="000E6CF7" w:rsidRDefault="000E6CF7" w:rsidP="008F4FC2">
            <w:pPr>
              <w:jc w:val="both"/>
            </w:pPr>
            <w:r w:rsidRPr="000E6CF7">
              <w:t>500.000</w:t>
            </w:r>
          </w:p>
        </w:tc>
        <w:tc>
          <w:tcPr>
            <w:tcW w:w="1084" w:type="dxa"/>
            <w:shd w:val="clear" w:color="auto" w:fill="auto"/>
          </w:tcPr>
          <w:p w:rsidR="000E6CF7" w:rsidRPr="000E6CF7" w:rsidRDefault="000E6CF7" w:rsidP="008F4FC2">
            <w:pPr>
              <w:jc w:val="both"/>
            </w:pPr>
            <w:r w:rsidRPr="000E6CF7">
              <w:t>700.000</w:t>
            </w:r>
          </w:p>
        </w:tc>
        <w:tc>
          <w:tcPr>
            <w:tcW w:w="1284" w:type="dxa"/>
            <w:shd w:val="clear" w:color="auto" w:fill="auto"/>
          </w:tcPr>
          <w:p w:rsidR="000E6CF7" w:rsidRPr="000E6CF7" w:rsidRDefault="000E6CF7" w:rsidP="008F4FC2">
            <w:pPr>
              <w:jc w:val="both"/>
            </w:pPr>
            <w:r w:rsidRPr="000E6CF7">
              <w:t>1.300.000</w:t>
            </w:r>
          </w:p>
        </w:tc>
        <w:tc>
          <w:tcPr>
            <w:tcW w:w="1284" w:type="dxa"/>
            <w:shd w:val="clear" w:color="auto" w:fill="auto"/>
          </w:tcPr>
          <w:p w:rsidR="000E6CF7" w:rsidRPr="000E6CF7" w:rsidRDefault="000E6CF7" w:rsidP="008F4FC2">
            <w:pPr>
              <w:jc w:val="both"/>
            </w:pPr>
            <w:r w:rsidRPr="000E6CF7">
              <w:t>4.000.000</w:t>
            </w:r>
          </w:p>
        </w:tc>
        <w:tc>
          <w:tcPr>
            <w:tcW w:w="1722" w:type="dxa"/>
            <w:shd w:val="clear" w:color="auto" w:fill="auto"/>
          </w:tcPr>
          <w:p w:rsidR="000E6CF7" w:rsidRPr="000E6CF7" w:rsidRDefault="000E6CF7" w:rsidP="008F4FC2">
            <w:pPr>
              <w:jc w:val="both"/>
            </w:pPr>
            <w:r w:rsidRPr="000E6CF7">
              <w:t>3.000.000</w:t>
            </w:r>
          </w:p>
        </w:tc>
      </w:tr>
      <w:tr w:rsidR="000E6CF7" w:rsidRPr="000E6CF7" w:rsidTr="00043DBC">
        <w:trPr>
          <w:jc w:val="center"/>
        </w:trPr>
        <w:tc>
          <w:tcPr>
            <w:tcW w:w="2473" w:type="dxa"/>
            <w:shd w:val="clear" w:color="auto" w:fill="auto"/>
          </w:tcPr>
          <w:p w:rsidR="000E6CF7" w:rsidRPr="000E6CF7" w:rsidRDefault="000E6CF7" w:rsidP="008F4FC2">
            <w:pPr>
              <w:jc w:val="both"/>
            </w:pPr>
            <w:r w:rsidRPr="000E6CF7">
              <w:t>Mesto</w:t>
            </w:r>
          </w:p>
        </w:tc>
        <w:tc>
          <w:tcPr>
            <w:tcW w:w="1084" w:type="dxa"/>
            <w:shd w:val="clear" w:color="auto" w:fill="auto"/>
          </w:tcPr>
          <w:p w:rsidR="000E6CF7" w:rsidRPr="000E6CF7" w:rsidRDefault="000E6CF7" w:rsidP="008F4FC2">
            <w:pPr>
              <w:jc w:val="both"/>
            </w:pPr>
            <w:r w:rsidRPr="000E6CF7">
              <w:t>607.500</w:t>
            </w:r>
          </w:p>
        </w:tc>
        <w:tc>
          <w:tcPr>
            <w:tcW w:w="1084" w:type="dxa"/>
            <w:shd w:val="clear" w:color="auto" w:fill="auto"/>
          </w:tcPr>
          <w:p w:rsidR="000E6CF7" w:rsidRPr="000E6CF7" w:rsidRDefault="000E6CF7" w:rsidP="008F4FC2">
            <w:pPr>
              <w:jc w:val="both"/>
            </w:pPr>
            <w:r w:rsidRPr="000E6CF7">
              <w:t>900.000</w:t>
            </w:r>
          </w:p>
        </w:tc>
        <w:tc>
          <w:tcPr>
            <w:tcW w:w="1284" w:type="dxa"/>
            <w:shd w:val="clear" w:color="auto" w:fill="auto"/>
          </w:tcPr>
          <w:p w:rsidR="000E6CF7" w:rsidRPr="000E6CF7" w:rsidRDefault="000E6CF7" w:rsidP="008F4FC2">
            <w:pPr>
              <w:jc w:val="both"/>
            </w:pPr>
            <w:r w:rsidRPr="000E6CF7">
              <w:t>1.800.000</w:t>
            </w:r>
          </w:p>
        </w:tc>
        <w:tc>
          <w:tcPr>
            <w:tcW w:w="1284" w:type="dxa"/>
            <w:shd w:val="clear" w:color="auto" w:fill="auto"/>
          </w:tcPr>
          <w:p w:rsidR="000E6CF7" w:rsidRPr="000E6CF7" w:rsidRDefault="000E6CF7" w:rsidP="008F4FC2">
            <w:pPr>
              <w:jc w:val="both"/>
            </w:pPr>
            <w:r w:rsidRPr="000E6CF7">
              <w:t>4.500.000</w:t>
            </w:r>
          </w:p>
        </w:tc>
        <w:tc>
          <w:tcPr>
            <w:tcW w:w="1722" w:type="dxa"/>
            <w:shd w:val="clear" w:color="auto" w:fill="auto"/>
          </w:tcPr>
          <w:p w:rsidR="000E6CF7" w:rsidRPr="000E6CF7" w:rsidRDefault="000E6CF7" w:rsidP="008F4FC2">
            <w:pPr>
              <w:jc w:val="both"/>
            </w:pPr>
            <w:r w:rsidRPr="000E6CF7">
              <w:t>2.700.000</w:t>
            </w:r>
          </w:p>
        </w:tc>
      </w:tr>
      <w:tr w:rsidR="000E6CF7" w:rsidRPr="000E6CF7" w:rsidTr="00043DBC">
        <w:trPr>
          <w:jc w:val="center"/>
        </w:trPr>
        <w:tc>
          <w:tcPr>
            <w:tcW w:w="2473" w:type="dxa"/>
            <w:shd w:val="clear" w:color="auto" w:fill="auto"/>
          </w:tcPr>
          <w:p w:rsidR="000E6CF7" w:rsidRPr="000E6CF7" w:rsidRDefault="000E6CF7" w:rsidP="008F4FC2">
            <w:pPr>
              <w:jc w:val="both"/>
            </w:pPr>
            <w:r w:rsidRPr="000E6CF7">
              <w:t>Regija</w:t>
            </w:r>
          </w:p>
        </w:tc>
        <w:tc>
          <w:tcPr>
            <w:tcW w:w="1084" w:type="dxa"/>
            <w:shd w:val="clear" w:color="auto" w:fill="auto"/>
          </w:tcPr>
          <w:p w:rsidR="000E6CF7" w:rsidRPr="000E6CF7" w:rsidRDefault="000E6CF7" w:rsidP="008F4FC2">
            <w:pPr>
              <w:jc w:val="both"/>
            </w:pPr>
          </w:p>
        </w:tc>
        <w:tc>
          <w:tcPr>
            <w:tcW w:w="1084" w:type="dxa"/>
            <w:shd w:val="clear" w:color="auto" w:fill="auto"/>
          </w:tcPr>
          <w:p w:rsidR="000E6CF7" w:rsidRPr="000E6CF7" w:rsidRDefault="000E6CF7" w:rsidP="008F4FC2">
            <w:pPr>
              <w:jc w:val="both"/>
            </w:pPr>
          </w:p>
        </w:tc>
        <w:tc>
          <w:tcPr>
            <w:tcW w:w="1284" w:type="dxa"/>
            <w:shd w:val="clear" w:color="auto" w:fill="auto"/>
          </w:tcPr>
          <w:p w:rsidR="000E6CF7" w:rsidRPr="000E6CF7" w:rsidRDefault="000E6CF7" w:rsidP="008F4FC2">
            <w:pPr>
              <w:jc w:val="both"/>
            </w:pPr>
            <w:r w:rsidRPr="000E6CF7">
              <w:t>200.000</w:t>
            </w:r>
          </w:p>
        </w:tc>
        <w:tc>
          <w:tcPr>
            <w:tcW w:w="1284" w:type="dxa"/>
            <w:shd w:val="clear" w:color="auto" w:fill="auto"/>
          </w:tcPr>
          <w:p w:rsidR="000E6CF7" w:rsidRPr="000E6CF7" w:rsidRDefault="000E6CF7" w:rsidP="008F4FC2">
            <w:pPr>
              <w:jc w:val="both"/>
            </w:pPr>
            <w:r w:rsidRPr="000E6CF7">
              <w:t>500.000</w:t>
            </w:r>
          </w:p>
        </w:tc>
        <w:tc>
          <w:tcPr>
            <w:tcW w:w="1722" w:type="dxa"/>
            <w:shd w:val="clear" w:color="auto" w:fill="auto"/>
          </w:tcPr>
          <w:p w:rsidR="000E6CF7" w:rsidRPr="000E6CF7" w:rsidRDefault="000E6CF7" w:rsidP="008F4FC2">
            <w:pPr>
              <w:jc w:val="both"/>
            </w:pPr>
            <w:r w:rsidRPr="000E6CF7">
              <w:t>450.000</w:t>
            </w:r>
          </w:p>
        </w:tc>
      </w:tr>
      <w:tr w:rsidR="000E6CF7" w:rsidRPr="000E6CF7" w:rsidTr="00043DBC">
        <w:trPr>
          <w:jc w:val="center"/>
        </w:trPr>
        <w:tc>
          <w:tcPr>
            <w:tcW w:w="2473" w:type="dxa"/>
            <w:shd w:val="clear" w:color="auto" w:fill="auto"/>
          </w:tcPr>
          <w:p w:rsidR="000E6CF7" w:rsidRPr="000E6CF7" w:rsidRDefault="000E6CF7" w:rsidP="008F4FC2">
            <w:pPr>
              <w:jc w:val="both"/>
            </w:pPr>
            <w:r w:rsidRPr="000E6CF7">
              <w:t>Pokrovitelji</w:t>
            </w:r>
          </w:p>
        </w:tc>
        <w:tc>
          <w:tcPr>
            <w:tcW w:w="1084" w:type="dxa"/>
            <w:shd w:val="clear" w:color="auto" w:fill="auto"/>
          </w:tcPr>
          <w:p w:rsidR="000E6CF7" w:rsidRPr="000E6CF7" w:rsidRDefault="000E6CF7" w:rsidP="008F4FC2">
            <w:pPr>
              <w:jc w:val="both"/>
            </w:pPr>
          </w:p>
        </w:tc>
        <w:tc>
          <w:tcPr>
            <w:tcW w:w="1084" w:type="dxa"/>
            <w:shd w:val="clear" w:color="auto" w:fill="auto"/>
          </w:tcPr>
          <w:p w:rsidR="000E6CF7" w:rsidRPr="000E6CF7" w:rsidRDefault="000E6CF7" w:rsidP="008F4FC2">
            <w:pPr>
              <w:jc w:val="both"/>
            </w:pPr>
          </w:p>
        </w:tc>
        <w:tc>
          <w:tcPr>
            <w:tcW w:w="1284" w:type="dxa"/>
            <w:shd w:val="clear" w:color="auto" w:fill="auto"/>
          </w:tcPr>
          <w:p w:rsidR="000E6CF7" w:rsidRPr="000E6CF7" w:rsidRDefault="000E6CF7" w:rsidP="008F4FC2">
            <w:pPr>
              <w:jc w:val="both"/>
            </w:pPr>
          </w:p>
        </w:tc>
        <w:tc>
          <w:tcPr>
            <w:tcW w:w="1284" w:type="dxa"/>
            <w:shd w:val="clear" w:color="auto" w:fill="auto"/>
          </w:tcPr>
          <w:p w:rsidR="000E6CF7" w:rsidRPr="000E6CF7" w:rsidRDefault="000E6CF7" w:rsidP="008F4FC2">
            <w:pPr>
              <w:jc w:val="both"/>
            </w:pPr>
            <w:r w:rsidRPr="000E6CF7">
              <w:t>200.000</w:t>
            </w:r>
          </w:p>
        </w:tc>
        <w:tc>
          <w:tcPr>
            <w:tcW w:w="1722" w:type="dxa"/>
            <w:shd w:val="clear" w:color="auto" w:fill="auto"/>
          </w:tcPr>
          <w:p w:rsidR="000E6CF7" w:rsidRPr="000E6CF7" w:rsidRDefault="000E6CF7" w:rsidP="008F4FC2">
            <w:pPr>
              <w:jc w:val="both"/>
            </w:pPr>
            <w:r w:rsidRPr="000E6CF7">
              <w:t>1.500.000</w:t>
            </w:r>
          </w:p>
        </w:tc>
      </w:tr>
      <w:tr w:rsidR="00060A93" w:rsidRPr="000E6CF7" w:rsidTr="00043DBC">
        <w:trPr>
          <w:jc w:val="center"/>
        </w:trPr>
        <w:tc>
          <w:tcPr>
            <w:tcW w:w="2473" w:type="dxa"/>
            <w:shd w:val="clear" w:color="auto" w:fill="auto"/>
          </w:tcPr>
          <w:p w:rsidR="00060A93" w:rsidRPr="000E6CF7" w:rsidRDefault="00060A93" w:rsidP="008F4FC2">
            <w:pPr>
              <w:jc w:val="both"/>
            </w:pPr>
          </w:p>
        </w:tc>
        <w:tc>
          <w:tcPr>
            <w:tcW w:w="1084" w:type="dxa"/>
            <w:shd w:val="clear" w:color="auto" w:fill="auto"/>
          </w:tcPr>
          <w:p w:rsidR="00060A93" w:rsidRPr="000E6CF7" w:rsidRDefault="00060A93" w:rsidP="008F4FC2">
            <w:pPr>
              <w:jc w:val="both"/>
            </w:pPr>
          </w:p>
        </w:tc>
        <w:tc>
          <w:tcPr>
            <w:tcW w:w="1084" w:type="dxa"/>
            <w:shd w:val="clear" w:color="auto" w:fill="auto"/>
          </w:tcPr>
          <w:p w:rsidR="00060A93" w:rsidRPr="000E6CF7" w:rsidRDefault="00060A93" w:rsidP="008F4FC2">
            <w:pPr>
              <w:jc w:val="both"/>
            </w:pPr>
          </w:p>
        </w:tc>
        <w:tc>
          <w:tcPr>
            <w:tcW w:w="1284" w:type="dxa"/>
            <w:shd w:val="clear" w:color="auto" w:fill="auto"/>
          </w:tcPr>
          <w:p w:rsidR="00060A93" w:rsidRPr="000E6CF7" w:rsidRDefault="00060A93" w:rsidP="008F4FC2">
            <w:pPr>
              <w:jc w:val="both"/>
            </w:pPr>
          </w:p>
        </w:tc>
        <w:tc>
          <w:tcPr>
            <w:tcW w:w="1284" w:type="dxa"/>
            <w:shd w:val="clear" w:color="auto" w:fill="auto"/>
          </w:tcPr>
          <w:p w:rsidR="00060A93" w:rsidRPr="000E6CF7" w:rsidRDefault="00060A93" w:rsidP="008F4FC2">
            <w:pPr>
              <w:jc w:val="both"/>
            </w:pPr>
          </w:p>
        </w:tc>
        <w:tc>
          <w:tcPr>
            <w:tcW w:w="1722" w:type="dxa"/>
            <w:shd w:val="clear" w:color="auto" w:fill="auto"/>
          </w:tcPr>
          <w:p w:rsidR="00060A93" w:rsidRPr="000E6CF7" w:rsidRDefault="00060A93" w:rsidP="008F4FC2">
            <w:pPr>
              <w:jc w:val="both"/>
            </w:pPr>
          </w:p>
        </w:tc>
      </w:tr>
    </w:tbl>
    <w:bookmarkEnd w:id="1"/>
    <w:p w:rsidR="000E6CF7" w:rsidRPr="000E6CF7" w:rsidRDefault="0053383D" w:rsidP="00324484">
      <w:pPr>
        <w:shd w:val="clear" w:color="auto" w:fill="FFFFFF"/>
        <w:jc w:val="both"/>
      </w:pPr>
      <w:r>
        <w:rPr>
          <w:noProof/>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635</wp:posOffset>
            </wp:positionV>
            <wp:extent cx="6059170" cy="13360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59170" cy="1336040"/>
                    </a:xfrm>
                    <a:prstGeom prst="rect">
                      <a:avLst/>
                    </a:prstGeom>
                  </pic:spPr>
                </pic:pic>
              </a:graphicData>
            </a:graphic>
            <wp14:sizeRelH relativeFrom="margin">
              <wp14:pctWidth>0</wp14:pctWidth>
            </wp14:sizeRelH>
          </wp:anchor>
        </w:drawing>
      </w:r>
    </w:p>
    <w:p w:rsidR="000E6CF7" w:rsidRPr="000E6CF7" w:rsidRDefault="000E6CF7" w:rsidP="000E6CF7">
      <w:pPr>
        <w:rPr>
          <w:i/>
          <w:u w:val="single"/>
        </w:rPr>
      </w:pPr>
      <w:r w:rsidRPr="000E6CF7">
        <w:rPr>
          <w:i/>
          <w:iCs/>
          <w:u w:val="single"/>
        </w:rPr>
        <w:t>Proračun za investicijske izdatke:</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551"/>
        <w:gridCol w:w="3387"/>
      </w:tblGrid>
      <w:tr w:rsidR="000E6CF7" w:rsidRPr="000E6CF7" w:rsidTr="00324484">
        <w:trPr>
          <w:jc w:val="center"/>
        </w:trPr>
        <w:tc>
          <w:tcPr>
            <w:tcW w:w="3276" w:type="dxa"/>
            <w:shd w:val="clear" w:color="auto" w:fill="auto"/>
            <w:vAlign w:val="center"/>
          </w:tcPr>
          <w:p w:rsidR="000E6CF7" w:rsidRPr="000E6CF7" w:rsidRDefault="000E6CF7" w:rsidP="008F4FC2">
            <w:pPr>
              <w:jc w:val="center"/>
              <w:rPr>
                <w:b/>
              </w:rPr>
            </w:pPr>
            <w:r w:rsidRPr="000E6CF7">
              <w:rPr>
                <w:b/>
              </w:rPr>
              <w:t>Prihodki iz javnega sektorja za kritje investicijskih izdatkov</w:t>
            </w:r>
          </w:p>
        </w:tc>
        <w:tc>
          <w:tcPr>
            <w:tcW w:w="2551" w:type="dxa"/>
            <w:shd w:val="clear" w:color="auto" w:fill="auto"/>
            <w:vAlign w:val="center"/>
          </w:tcPr>
          <w:p w:rsidR="000E6CF7" w:rsidRPr="000E6CF7" w:rsidRDefault="000E6CF7" w:rsidP="008F4FC2">
            <w:pPr>
              <w:jc w:val="center"/>
              <w:rPr>
                <w:b/>
              </w:rPr>
            </w:pPr>
            <w:r w:rsidRPr="000E6CF7">
              <w:rPr>
                <w:b/>
              </w:rPr>
              <w:t>V evrih</w:t>
            </w:r>
          </w:p>
        </w:tc>
        <w:tc>
          <w:tcPr>
            <w:tcW w:w="3387" w:type="dxa"/>
            <w:shd w:val="clear" w:color="auto" w:fill="auto"/>
            <w:vAlign w:val="center"/>
          </w:tcPr>
          <w:p w:rsidR="000E6CF7" w:rsidRPr="000E6CF7" w:rsidRDefault="000E6CF7" w:rsidP="008F4FC2">
            <w:pPr>
              <w:jc w:val="center"/>
              <w:rPr>
                <w:b/>
              </w:rPr>
            </w:pPr>
            <w:r w:rsidRPr="000E6CF7">
              <w:rPr>
                <w:b/>
              </w:rPr>
              <w:t>V %</w:t>
            </w:r>
          </w:p>
        </w:tc>
      </w:tr>
      <w:tr w:rsidR="000E6CF7" w:rsidRPr="000E6CF7" w:rsidTr="00324484">
        <w:trPr>
          <w:jc w:val="center"/>
        </w:trPr>
        <w:tc>
          <w:tcPr>
            <w:tcW w:w="3276" w:type="dxa"/>
            <w:shd w:val="clear" w:color="auto" w:fill="auto"/>
            <w:vAlign w:val="center"/>
          </w:tcPr>
          <w:p w:rsidR="000E6CF7" w:rsidRPr="000E6CF7" w:rsidRDefault="000E6CF7" w:rsidP="008F4FC2">
            <w:pPr>
              <w:jc w:val="center"/>
            </w:pPr>
            <w:r w:rsidRPr="000E6CF7">
              <w:t>Vlada</w:t>
            </w:r>
          </w:p>
        </w:tc>
        <w:tc>
          <w:tcPr>
            <w:tcW w:w="2551" w:type="dxa"/>
            <w:shd w:val="clear" w:color="auto" w:fill="auto"/>
            <w:vAlign w:val="center"/>
          </w:tcPr>
          <w:p w:rsidR="000E6CF7" w:rsidRPr="000E6CF7" w:rsidRDefault="000E6CF7" w:rsidP="008F4FC2">
            <w:pPr>
              <w:jc w:val="center"/>
            </w:pPr>
            <w:r w:rsidRPr="000E6CF7">
              <w:t>4.590.897</w:t>
            </w:r>
          </w:p>
        </w:tc>
        <w:tc>
          <w:tcPr>
            <w:tcW w:w="3387" w:type="dxa"/>
            <w:shd w:val="clear" w:color="auto" w:fill="auto"/>
            <w:vAlign w:val="center"/>
          </w:tcPr>
          <w:p w:rsidR="000E6CF7" w:rsidRPr="000E6CF7" w:rsidRDefault="000E6CF7" w:rsidP="008F4FC2">
            <w:pPr>
              <w:jc w:val="center"/>
            </w:pPr>
            <w:r w:rsidRPr="000E6CF7">
              <w:t>27,22 %</w:t>
            </w:r>
          </w:p>
        </w:tc>
      </w:tr>
      <w:tr w:rsidR="000E6CF7" w:rsidRPr="000E6CF7" w:rsidTr="00324484">
        <w:trPr>
          <w:jc w:val="center"/>
        </w:trPr>
        <w:tc>
          <w:tcPr>
            <w:tcW w:w="3276" w:type="dxa"/>
            <w:shd w:val="clear" w:color="auto" w:fill="auto"/>
            <w:vAlign w:val="center"/>
          </w:tcPr>
          <w:p w:rsidR="000E6CF7" w:rsidRPr="000E6CF7" w:rsidRDefault="000E6CF7" w:rsidP="008F4FC2">
            <w:pPr>
              <w:jc w:val="center"/>
            </w:pPr>
            <w:r w:rsidRPr="000E6CF7">
              <w:t>Mesto</w:t>
            </w:r>
          </w:p>
        </w:tc>
        <w:tc>
          <w:tcPr>
            <w:tcW w:w="2551" w:type="dxa"/>
            <w:shd w:val="clear" w:color="auto" w:fill="auto"/>
            <w:vAlign w:val="center"/>
          </w:tcPr>
          <w:p w:rsidR="000E6CF7" w:rsidRPr="000E6CF7" w:rsidRDefault="000E6CF7" w:rsidP="008F4FC2">
            <w:pPr>
              <w:jc w:val="center"/>
            </w:pPr>
            <w:r w:rsidRPr="000E6CF7">
              <w:t>11.059.262</w:t>
            </w:r>
          </w:p>
        </w:tc>
        <w:tc>
          <w:tcPr>
            <w:tcW w:w="3387" w:type="dxa"/>
            <w:shd w:val="clear" w:color="auto" w:fill="auto"/>
            <w:vAlign w:val="center"/>
          </w:tcPr>
          <w:p w:rsidR="000E6CF7" w:rsidRPr="000E6CF7" w:rsidRDefault="000E6CF7" w:rsidP="008F4FC2">
            <w:pPr>
              <w:jc w:val="center"/>
            </w:pPr>
            <w:r w:rsidRPr="000E6CF7">
              <w:t>65,58 %</w:t>
            </w:r>
          </w:p>
        </w:tc>
      </w:tr>
      <w:tr w:rsidR="000E6CF7" w:rsidRPr="000E6CF7" w:rsidTr="00324484">
        <w:trPr>
          <w:jc w:val="center"/>
        </w:trPr>
        <w:tc>
          <w:tcPr>
            <w:tcW w:w="3276" w:type="dxa"/>
            <w:shd w:val="clear" w:color="auto" w:fill="auto"/>
            <w:vAlign w:val="center"/>
          </w:tcPr>
          <w:p w:rsidR="000E6CF7" w:rsidRPr="000E6CF7" w:rsidRDefault="000E6CF7" w:rsidP="008F4FC2">
            <w:pPr>
              <w:jc w:val="center"/>
            </w:pPr>
            <w:r w:rsidRPr="000E6CF7">
              <w:t>Regija</w:t>
            </w:r>
          </w:p>
        </w:tc>
        <w:tc>
          <w:tcPr>
            <w:tcW w:w="2551" w:type="dxa"/>
            <w:shd w:val="clear" w:color="auto" w:fill="auto"/>
            <w:vAlign w:val="center"/>
          </w:tcPr>
          <w:p w:rsidR="000E6CF7" w:rsidRPr="000E6CF7" w:rsidRDefault="000E6CF7" w:rsidP="008F4FC2">
            <w:pPr>
              <w:jc w:val="center"/>
            </w:pPr>
            <w:r w:rsidRPr="000E6CF7">
              <w:t>0</w:t>
            </w:r>
          </w:p>
        </w:tc>
        <w:tc>
          <w:tcPr>
            <w:tcW w:w="3387" w:type="dxa"/>
            <w:shd w:val="clear" w:color="auto" w:fill="auto"/>
            <w:vAlign w:val="center"/>
          </w:tcPr>
          <w:p w:rsidR="000E6CF7" w:rsidRPr="000E6CF7" w:rsidRDefault="000E6CF7" w:rsidP="008F4FC2">
            <w:pPr>
              <w:jc w:val="center"/>
            </w:pPr>
            <w:r w:rsidRPr="000E6CF7">
              <w:t>0</w:t>
            </w:r>
          </w:p>
        </w:tc>
      </w:tr>
      <w:tr w:rsidR="000E6CF7" w:rsidRPr="000E6CF7" w:rsidTr="00324484">
        <w:trPr>
          <w:jc w:val="center"/>
        </w:trPr>
        <w:tc>
          <w:tcPr>
            <w:tcW w:w="3276" w:type="dxa"/>
            <w:shd w:val="clear" w:color="auto" w:fill="auto"/>
            <w:vAlign w:val="center"/>
          </w:tcPr>
          <w:p w:rsidR="000E6CF7" w:rsidRPr="000E6CF7" w:rsidRDefault="000E6CF7" w:rsidP="008F4FC2">
            <w:pPr>
              <w:jc w:val="center"/>
            </w:pPr>
            <w:r w:rsidRPr="000E6CF7">
              <w:t xml:space="preserve">EU (brez nagrade Meline </w:t>
            </w:r>
            <w:proofErr w:type="spellStart"/>
            <w:r w:rsidRPr="000E6CF7">
              <w:t>Mercouri</w:t>
            </w:r>
            <w:proofErr w:type="spellEnd"/>
            <w:r w:rsidRPr="000E6CF7">
              <w:t>)</w:t>
            </w:r>
          </w:p>
        </w:tc>
        <w:tc>
          <w:tcPr>
            <w:tcW w:w="2551" w:type="dxa"/>
            <w:shd w:val="clear" w:color="auto" w:fill="auto"/>
            <w:vAlign w:val="center"/>
          </w:tcPr>
          <w:p w:rsidR="000E6CF7" w:rsidRPr="000E6CF7" w:rsidRDefault="000E6CF7" w:rsidP="008F4FC2">
            <w:pPr>
              <w:jc w:val="center"/>
            </w:pPr>
            <w:r w:rsidRPr="000E6CF7">
              <w:t>1.212.950</w:t>
            </w:r>
          </w:p>
        </w:tc>
        <w:tc>
          <w:tcPr>
            <w:tcW w:w="3387" w:type="dxa"/>
            <w:shd w:val="clear" w:color="auto" w:fill="auto"/>
            <w:vAlign w:val="center"/>
          </w:tcPr>
          <w:p w:rsidR="000E6CF7" w:rsidRPr="000E6CF7" w:rsidRDefault="000E6CF7" w:rsidP="008F4FC2">
            <w:pPr>
              <w:jc w:val="center"/>
            </w:pPr>
            <w:r w:rsidRPr="000E6CF7">
              <w:t>7,19 %</w:t>
            </w:r>
          </w:p>
        </w:tc>
      </w:tr>
      <w:tr w:rsidR="000E6CF7" w:rsidRPr="000E6CF7" w:rsidTr="00324484">
        <w:trPr>
          <w:jc w:val="center"/>
        </w:trPr>
        <w:tc>
          <w:tcPr>
            <w:tcW w:w="3276" w:type="dxa"/>
            <w:shd w:val="clear" w:color="auto" w:fill="auto"/>
            <w:vAlign w:val="center"/>
          </w:tcPr>
          <w:p w:rsidR="000E6CF7" w:rsidRPr="000E6CF7" w:rsidRDefault="000E6CF7" w:rsidP="008F4FC2">
            <w:pPr>
              <w:jc w:val="center"/>
            </w:pPr>
            <w:r w:rsidRPr="000E6CF7">
              <w:t>Drugo</w:t>
            </w:r>
          </w:p>
        </w:tc>
        <w:tc>
          <w:tcPr>
            <w:tcW w:w="2551" w:type="dxa"/>
            <w:shd w:val="clear" w:color="auto" w:fill="auto"/>
            <w:vAlign w:val="center"/>
          </w:tcPr>
          <w:p w:rsidR="000E6CF7" w:rsidRPr="000E6CF7" w:rsidRDefault="000E6CF7" w:rsidP="008F4FC2">
            <w:pPr>
              <w:jc w:val="center"/>
            </w:pPr>
            <w:r w:rsidRPr="000E6CF7">
              <w:t>0</w:t>
            </w:r>
          </w:p>
        </w:tc>
        <w:tc>
          <w:tcPr>
            <w:tcW w:w="3387" w:type="dxa"/>
            <w:shd w:val="clear" w:color="auto" w:fill="auto"/>
            <w:vAlign w:val="center"/>
          </w:tcPr>
          <w:p w:rsidR="000E6CF7" w:rsidRPr="000E6CF7" w:rsidRDefault="000E6CF7" w:rsidP="008F4FC2">
            <w:pPr>
              <w:jc w:val="center"/>
            </w:pPr>
            <w:r w:rsidRPr="000E6CF7">
              <w:t>0</w:t>
            </w:r>
          </w:p>
        </w:tc>
      </w:tr>
    </w:tbl>
    <w:p w:rsidR="000E6CF7" w:rsidRPr="000E6CF7" w:rsidRDefault="000E6CF7" w:rsidP="000E6CF7">
      <w:pPr>
        <w:rPr>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2551"/>
        <w:gridCol w:w="2678"/>
      </w:tblGrid>
      <w:tr w:rsidR="000E6CF7" w:rsidRPr="000E6CF7" w:rsidTr="00324484">
        <w:trPr>
          <w:jc w:val="center"/>
        </w:trPr>
        <w:tc>
          <w:tcPr>
            <w:tcW w:w="3985" w:type="dxa"/>
            <w:shd w:val="clear" w:color="auto" w:fill="auto"/>
          </w:tcPr>
          <w:p w:rsidR="000E6CF7" w:rsidRPr="000E6CF7" w:rsidRDefault="000E6CF7" w:rsidP="008F4FC2">
            <w:pPr>
              <w:jc w:val="center"/>
              <w:rPr>
                <w:b/>
              </w:rPr>
            </w:pPr>
            <w:r w:rsidRPr="000E6CF7">
              <w:rPr>
                <w:b/>
              </w:rPr>
              <w:t>Skupaj</w:t>
            </w:r>
          </w:p>
        </w:tc>
        <w:tc>
          <w:tcPr>
            <w:tcW w:w="2551" w:type="dxa"/>
            <w:shd w:val="clear" w:color="auto" w:fill="auto"/>
          </w:tcPr>
          <w:p w:rsidR="000E6CF7" w:rsidRPr="000E6CF7" w:rsidRDefault="000E6CF7" w:rsidP="008F4FC2">
            <w:pPr>
              <w:jc w:val="center"/>
              <w:rPr>
                <w:b/>
              </w:rPr>
            </w:pPr>
            <w:r w:rsidRPr="000E6CF7">
              <w:rPr>
                <w:b/>
              </w:rPr>
              <w:t>16.863.109</w:t>
            </w:r>
          </w:p>
        </w:tc>
        <w:tc>
          <w:tcPr>
            <w:tcW w:w="2678" w:type="dxa"/>
            <w:shd w:val="clear" w:color="auto" w:fill="auto"/>
          </w:tcPr>
          <w:p w:rsidR="000E6CF7" w:rsidRPr="000E6CF7" w:rsidRDefault="000E6CF7" w:rsidP="008F4FC2">
            <w:pPr>
              <w:jc w:val="center"/>
              <w:rPr>
                <w:b/>
              </w:rPr>
            </w:pPr>
            <w:r w:rsidRPr="000E6CF7">
              <w:rPr>
                <w:b/>
              </w:rPr>
              <w:t>100%</w:t>
            </w:r>
          </w:p>
        </w:tc>
      </w:tr>
    </w:tbl>
    <w:p w:rsidR="000E6CF7" w:rsidRPr="000E6CF7" w:rsidRDefault="000E6CF7" w:rsidP="000E6CF7">
      <w:pPr>
        <w:shd w:val="clear" w:color="auto" w:fill="FFFFFF"/>
        <w:jc w:val="cente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4111"/>
      </w:tblGrid>
      <w:tr w:rsidR="000E6CF7" w:rsidRPr="000E6CF7" w:rsidTr="00324484">
        <w:tc>
          <w:tcPr>
            <w:tcW w:w="3828" w:type="dxa"/>
            <w:shd w:val="clear" w:color="auto" w:fill="auto"/>
          </w:tcPr>
          <w:p w:rsidR="000E6CF7" w:rsidRPr="000E6CF7" w:rsidRDefault="000E6CF7" w:rsidP="008F4FC2">
            <w:pPr>
              <w:rPr>
                <w:b/>
                <w:bCs/>
              </w:rPr>
            </w:pPr>
            <w:r w:rsidRPr="000E6CF7">
              <w:rPr>
                <w:b/>
                <w:bCs/>
              </w:rPr>
              <w:t>Kulturna infrastruktura - investicija</w:t>
            </w:r>
          </w:p>
        </w:tc>
        <w:tc>
          <w:tcPr>
            <w:tcW w:w="1417" w:type="dxa"/>
            <w:shd w:val="clear" w:color="auto" w:fill="auto"/>
          </w:tcPr>
          <w:p w:rsidR="000E6CF7" w:rsidRPr="000E6CF7" w:rsidRDefault="000E6CF7" w:rsidP="008F4FC2">
            <w:pPr>
              <w:jc w:val="center"/>
              <w:rPr>
                <w:b/>
                <w:bCs/>
              </w:rPr>
            </w:pPr>
            <w:r w:rsidRPr="000E6CF7">
              <w:rPr>
                <w:b/>
                <w:bCs/>
              </w:rPr>
              <w:t>Investitor</w:t>
            </w:r>
          </w:p>
        </w:tc>
        <w:tc>
          <w:tcPr>
            <w:tcW w:w="4111" w:type="dxa"/>
            <w:shd w:val="clear" w:color="auto" w:fill="auto"/>
          </w:tcPr>
          <w:p w:rsidR="000E6CF7" w:rsidRPr="000E6CF7" w:rsidRDefault="000E6CF7" w:rsidP="008F4FC2">
            <w:pPr>
              <w:jc w:val="center"/>
              <w:rPr>
                <w:b/>
                <w:bCs/>
              </w:rPr>
            </w:pPr>
            <w:r w:rsidRPr="000E6CF7">
              <w:rPr>
                <w:b/>
                <w:bCs/>
              </w:rPr>
              <w:t>Vrednost investicije</w:t>
            </w:r>
          </w:p>
        </w:tc>
      </w:tr>
      <w:tr w:rsidR="000E6CF7" w:rsidRPr="000E6CF7" w:rsidTr="00324484">
        <w:tc>
          <w:tcPr>
            <w:tcW w:w="3828" w:type="dxa"/>
            <w:shd w:val="clear" w:color="auto" w:fill="auto"/>
          </w:tcPr>
          <w:p w:rsidR="000E6CF7" w:rsidRPr="000E6CF7" w:rsidRDefault="000E6CF7" w:rsidP="008F4FC2">
            <w:proofErr w:type="spellStart"/>
            <w:r w:rsidRPr="000E6CF7">
              <w:t>Monfort</w:t>
            </w:r>
            <w:proofErr w:type="spellEnd"/>
            <w:r w:rsidRPr="000E6CF7">
              <w:t xml:space="preserve"> – Kulturna ambasada </w:t>
            </w:r>
          </w:p>
        </w:tc>
        <w:tc>
          <w:tcPr>
            <w:tcW w:w="1417" w:type="dxa"/>
            <w:shd w:val="clear" w:color="auto" w:fill="auto"/>
          </w:tcPr>
          <w:p w:rsidR="000E6CF7" w:rsidRPr="000E6CF7" w:rsidRDefault="000E6CF7" w:rsidP="008F4FC2">
            <w:r w:rsidRPr="000E6CF7">
              <w:t>Piran</w:t>
            </w:r>
          </w:p>
        </w:tc>
        <w:tc>
          <w:tcPr>
            <w:tcW w:w="4111" w:type="dxa"/>
            <w:shd w:val="clear" w:color="auto" w:fill="auto"/>
          </w:tcPr>
          <w:p w:rsidR="000E6CF7" w:rsidRPr="000E6CF7" w:rsidRDefault="000E6CF7" w:rsidP="008F4FC2">
            <w:pPr>
              <w:jc w:val="right"/>
            </w:pPr>
            <w:r w:rsidRPr="000E6CF7">
              <w:t>1.458.670</w:t>
            </w:r>
          </w:p>
        </w:tc>
      </w:tr>
      <w:tr w:rsidR="000E6CF7" w:rsidRPr="000E6CF7" w:rsidTr="00324484">
        <w:tc>
          <w:tcPr>
            <w:tcW w:w="3828" w:type="dxa"/>
            <w:shd w:val="clear" w:color="auto" w:fill="auto"/>
          </w:tcPr>
          <w:p w:rsidR="000E6CF7" w:rsidRPr="000E6CF7" w:rsidRDefault="000E6CF7" w:rsidP="008F4FC2">
            <w:r w:rsidRPr="000E6CF7">
              <w:t>Forma Viva</w:t>
            </w:r>
          </w:p>
        </w:tc>
        <w:tc>
          <w:tcPr>
            <w:tcW w:w="1417" w:type="dxa"/>
            <w:shd w:val="clear" w:color="auto" w:fill="auto"/>
          </w:tcPr>
          <w:p w:rsidR="000E6CF7" w:rsidRPr="000E6CF7" w:rsidRDefault="000E6CF7" w:rsidP="008F4FC2">
            <w:r w:rsidRPr="000E6CF7">
              <w:t>Piran</w:t>
            </w:r>
          </w:p>
        </w:tc>
        <w:tc>
          <w:tcPr>
            <w:tcW w:w="4111" w:type="dxa"/>
            <w:shd w:val="clear" w:color="auto" w:fill="auto"/>
          </w:tcPr>
          <w:p w:rsidR="000E6CF7" w:rsidRPr="000E6CF7" w:rsidRDefault="000E6CF7" w:rsidP="008F4FC2">
            <w:pPr>
              <w:jc w:val="right"/>
            </w:pPr>
            <w:r w:rsidRPr="000E6CF7">
              <w:t>2.089.507</w:t>
            </w:r>
          </w:p>
        </w:tc>
      </w:tr>
      <w:tr w:rsidR="000E6CF7" w:rsidRPr="000E6CF7" w:rsidTr="00324484">
        <w:tc>
          <w:tcPr>
            <w:tcW w:w="3828" w:type="dxa"/>
            <w:shd w:val="clear" w:color="auto" w:fill="auto"/>
          </w:tcPr>
          <w:p w:rsidR="000E6CF7" w:rsidRPr="000E6CF7" w:rsidRDefault="000E6CF7" w:rsidP="008F4FC2">
            <w:r w:rsidRPr="000E6CF7">
              <w:t xml:space="preserve">Palača </w:t>
            </w:r>
            <w:proofErr w:type="spellStart"/>
            <w:r w:rsidRPr="000E6CF7">
              <w:t>Trevisini</w:t>
            </w:r>
            <w:proofErr w:type="spellEnd"/>
          </w:p>
        </w:tc>
        <w:tc>
          <w:tcPr>
            <w:tcW w:w="1417" w:type="dxa"/>
            <w:shd w:val="clear" w:color="auto" w:fill="auto"/>
          </w:tcPr>
          <w:p w:rsidR="000E6CF7" w:rsidRPr="000E6CF7" w:rsidRDefault="000E6CF7" w:rsidP="008F4FC2">
            <w:r w:rsidRPr="000E6CF7">
              <w:t>Piran</w:t>
            </w:r>
          </w:p>
        </w:tc>
        <w:tc>
          <w:tcPr>
            <w:tcW w:w="4111" w:type="dxa"/>
            <w:shd w:val="clear" w:color="auto" w:fill="auto"/>
          </w:tcPr>
          <w:p w:rsidR="000E6CF7" w:rsidRPr="000E6CF7" w:rsidRDefault="000E6CF7" w:rsidP="008F4FC2">
            <w:pPr>
              <w:jc w:val="right"/>
            </w:pPr>
            <w:r w:rsidRPr="000E6CF7">
              <w:t>3.364.932</w:t>
            </w:r>
          </w:p>
        </w:tc>
      </w:tr>
      <w:tr w:rsidR="000E6CF7" w:rsidRPr="000E6CF7" w:rsidTr="00324484">
        <w:tc>
          <w:tcPr>
            <w:tcW w:w="3828" w:type="dxa"/>
            <w:shd w:val="clear" w:color="auto" w:fill="auto"/>
          </w:tcPr>
          <w:p w:rsidR="000E6CF7" w:rsidRPr="000E6CF7" w:rsidRDefault="000E6CF7" w:rsidP="008F4FC2">
            <w:r w:rsidRPr="000E6CF7">
              <w:t>Medgeneracijski kulturni center</w:t>
            </w:r>
          </w:p>
        </w:tc>
        <w:tc>
          <w:tcPr>
            <w:tcW w:w="1417" w:type="dxa"/>
            <w:shd w:val="clear" w:color="auto" w:fill="auto"/>
          </w:tcPr>
          <w:p w:rsidR="000E6CF7" w:rsidRPr="000E6CF7" w:rsidRDefault="000E6CF7" w:rsidP="008F4FC2">
            <w:r w:rsidRPr="000E6CF7">
              <w:t>Izola</w:t>
            </w:r>
          </w:p>
        </w:tc>
        <w:tc>
          <w:tcPr>
            <w:tcW w:w="4111" w:type="dxa"/>
            <w:shd w:val="clear" w:color="auto" w:fill="auto"/>
          </w:tcPr>
          <w:p w:rsidR="000E6CF7" w:rsidRPr="000E6CF7" w:rsidRDefault="000E6CF7" w:rsidP="008F4FC2">
            <w:pPr>
              <w:jc w:val="right"/>
            </w:pPr>
            <w:r w:rsidRPr="000E6CF7">
              <w:t>7.200.000</w:t>
            </w:r>
          </w:p>
        </w:tc>
      </w:tr>
      <w:tr w:rsidR="000E6CF7" w:rsidRPr="000E6CF7" w:rsidTr="00324484">
        <w:tc>
          <w:tcPr>
            <w:tcW w:w="3828" w:type="dxa"/>
            <w:shd w:val="clear" w:color="auto" w:fill="auto"/>
          </w:tcPr>
          <w:p w:rsidR="000E6CF7" w:rsidRPr="000E6CF7" w:rsidRDefault="000E6CF7" w:rsidP="008F4FC2">
            <w:proofErr w:type="spellStart"/>
            <w:r w:rsidRPr="000E6CF7">
              <w:t>Libertas</w:t>
            </w:r>
            <w:proofErr w:type="spellEnd"/>
            <w:r w:rsidRPr="000E6CF7">
              <w:t xml:space="preserve"> – kreativni start-up hub</w:t>
            </w:r>
          </w:p>
        </w:tc>
        <w:tc>
          <w:tcPr>
            <w:tcW w:w="1417" w:type="dxa"/>
            <w:shd w:val="clear" w:color="auto" w:fill="auto"/>
          </w:tcPr>
          <w:p w:rsidR="000E6CF7" w:rsidRPr="000E6CF7" w:rsidRDefault="000E6CF7" w:rsidP="008F4FC2">
            <w:r w:rsidRPr="000E6CF7">
              <w:t>Koper</w:t>
            </w:r>
          </w:p>
        </w:tc>
        <w:tc>
          <w:tcPr>
            <w:tcW w:w="4111" w:type="dxa"/>
            <w:shd w:val="clear" w:color="auto" w:fill="auto"/>
          </w:tcPr>
          <w:p w:rsidR="000E6CF7" w:rsidRPr="000E6CF7" w:rsidRDefault="000E6CF7" w:rsidP="008F4FC2">
            <w:pPr>
              <w:jc w:val="right"/>
            </w:pPr>
            <w:r w:rsidRPr="000E6CF7">
              <w:t>2.000.000</w:t>
            </w:r>
          </w:p>
        </w:tc>
      </w:tr>
      <w:tr w:rsidR="000E6CF7" w:rsidRPr="000E6CF7" w:rsidTr="00324484">
        <w:tc>
          <w:tcPr>
            <w:tcW w:w="3828" w:type="dxa"/>
            <w:shd w:val="clear" w:color="auto" w:fill="auto"/>
          </w:tcPr>
          <w:p w:rsidR="000E6CF7" w:rsidRPr="000E6CF7" w:rsidRDefault="000E6CF7" w:rsidP="008F4FC2">
            <w:r w:rsidRPr="000E6CF7">
              <w:t xml:space="preserve">Forum </w:t>
            </w:r>
            <w:proofErr w:type="spellStart"/>
            <w:r w:rsidRPr="000E6CF7">
              <w:t>Babylon</w:t>
            </w:r>
            <w:proofErr w:type="spellEnd"/>
            <w:r w:rsidRPr="000E6CF7">
              <w:t xml:space="preserve"> – prevajalsko središče</w:t>
            </w:r>
          </w:p>
        </w:tc>
        <w:tc>
          <w:tcPr>
            <w:tcW w:w="1417" w:type="dxa"/>
            <w:shd w:val="clear" w:color="auto" w:fill="auto"/>
          </w:tcPr>
          <w:p w:rsidR="000E6CF7" w:rsidRPr="000E6CF7" w:rsidRDefault="000E6CF7" w:rsidP="008F4FC2">
            <w:r w:rsidRPr="000E6CF7">
              <w:t>Koper</w:t>
            </w:r>
          </w:p>
        </w:tc>
        <w:tc>
          <w:tcPr>
            <w:tcW w:w="4111" w:type="dxa"/>
            <w:shd w:val="clear" w:color="auto" w:fill="auto"/>
          </w:tcPr>
          <w:p w:rsidR="000E6CF7" w:rsidRPr="000E6CF7" w:rsidRDefault="000E6CF7" w:rsidP="008F4FC2">
            <w:pPr>
              <w:jc w:val="right"/>
            </w:pPr>
            <w:r w:rsidRPr="000E6CF7">
              <w:t>200.000</w:t>
            </w:r>
          </w:p>
        </w:tc>
      </w:tr>
      <w:tr w:rsidR="000E6CF7" w:rsidRPr="000E6CF7" w:rsidTr="00324484">
        <w:tc>
          <w:tcPr>
            <w:tcW w:w="3828" w:type="dxa"/>
            <w:shd w:val="clear" w:color="auto" w:fill="auto"/>
          </w:tcPr>
          <w:p w:rsidR="000E6CF7" w:rsidRPr="000E6CF7" w:rsidRDefault="000E6CF7" w:rsidP="008F4FC2">
            <w:r w:rsidRPr="000E6CF7">
              <w:t>Plavajoči oder</w:t>
            </w:r>
          </w:p>
        </w:tc>
        <w:tc>
          <w:tcPr>
            <w:tcW w:w="1417" w:type="dxa"/>
            <w:shd w:val="clear" w:color="auto" w:fill="auto"/>
          </w:tcPr>
          <w:p w:rsidR="000E6CF7" w:rsidRPr="000E6CF7" w:rsidRDefault="000E6CF7" w:rsidP="008F4FC2">
            <w:r w:rsidRPr="000E6CF7">
              <w:t>Ankaran</w:t>
            </w:r>
          </w:p>
        </w:tc>
        <w:tc>
          <w:tcPr>
            <w:tcW w:w="4111" w:type="dxa"/>
            <w:shd w:val="clear" w:color="auto" w:fill="auto"/>
          </w:tcPr>
          <w:p w:rsidR="000E6CF7" w:rsidRPr="000E6CF7" w:rsidRDefault="000E6CF7" w:rsidP="008F4FC2">
            <w:pPr>
              <w:jc w:val="right"/>
            </w:pPr>
            <w:r w:rsidRPr="000E6CF7">
              <w:t>550.000</w:t>
            </w:r>
          </w:p>
        </w:tc>
      </w:tr>
    </w:tbl>
    <w:p w:rsidR="000E6CF7" w:rsidRPr="000E6CF7" w:rsidRDefault="000E6CF7" w:rsidP="000E6CF7">
      <w:pPr>
        <w:shd w:val="clear" w:color="auto" w:fill="FFFFFF"/>
        <w:jc w:val="center"/>
      </w:pPr>
    </w:p>
    <w:p w:rsidR="000027A1" w:rsidRPr="002C7A6D" w:rsidRDefault="000027A1" w:rsidP="0021657C">
      <w:pPr>
        <w:jc w:val="both"/>
        <w:rPr>
          <w:sz w:val="23"/>
          <w:szCs w:val="23"/>
        </w:rPr>
      </w:pPr>
    </w:p>
    <w:p w:rsidR="0053525C" w:rsidRPr="002C7A6D" w:rsidRDefault="00140E43" w:rsidP="000027A1">
      <w:pPr>
        <w:pStyle w:val="Telobesedila"/>
        <w:rPr>
          <w:sz w:val="23"/>
          <w:szCs w:val="23"/>
        </w:rPr>
      </w:pPr>
      <w:r w:rsidRPr="002C7A6D">
        <w:rPr>
          <w:sz w:val="23"/>
          <w:szCs w:val="23"/>
        </w:rPr>
        <w:t>Na podlagi podane obrazložitve</w:t>
      </w:r>
      <w:r w:rsidR="000027A1" w:rsidRPr="002C7A6D">
        <w:rPr>
          <w:sz w:val="23"/>
          <w:szCs w:val="23"/>
        </w:rPr>
        <w:t xml:space="preserve"> članom Občinskega sveta predlagamo, da obravnavajo in </w:t>
      </w:r>
      <w:r w:rsidR="003053A2">
        <w:rPr>
          <w:sz w:val="23"/>
          <w:szCs w:val="23"/>
        </w:rPr>
        <w:t xml:space="preserve">potrdijo </w:t>
      </w:r>
      <w:r w:rsidR="003053A2" w:rsidRPr="003053A2">
        <w:rPr>
          <w:sz w:val="23"/>
          <w:szCs w:val="23"/>
        </w:rPr>
        <w:t>kandidaturo za Evropsko prestolnico kulture PI2025 v drugi fazi.</w:t>
      </w:r>
    </w:p>
    <w:p w:rsidR="0053525C" w:rsidRPr="002C7A6D" w:rsidRDefault="0053525C" w:rsidP="0053525C">
      <w:pPr>
        <w:pStyle w:val="Telobesedila"/>
        <w:rPr>
          <w:sz w:val="23"/>
          <w:szCs w:val="23"/>
        </w:rPr>
      </w:pPr>
    </w:p>
    <w:p w:rsidR="0053525C" w:rsidRPr="00CF4F73" w:rsidRDefault="0053525C" w:rsidP="0053525C">
      <w:pPr>
        <w:pStyle w:val="Telobesedila"/>
      </w:pPr>
    </w:p>
    <w:tbl>
      <w:tblPr>
        <w:tblW w:w="0" w:type="auto"/>
        <w:tblLook w:val="04A0" w:firstRow="1" w:lastRow="0" w:firstColumn="1" w:lastColumn="0" w:noHBand="0" w:noVBand="1"/>
      </w:tblPr>
      <w:tblGrid>
        <w:gridCol w:w="3329"/>
        <w:gridCol w:w="2508"/>
        <w:gridCol w:w="3233"/>
      </w:tblGrid>
      <w:tr w:rsidR="0053525C" w:rsidRPr="00CF4F73" w:rsidTr="001D7386">
        <w:tc>
          <w:tcPr>
            <w:tcW w:w="3329" w:type="dxa"/>
            <w:shd w:val="clear" w:color="auto" w:fill="auto"/>
          </w:tcPr>
          <w:p w:rsidR="0053525C" w:rsidRPr="00CF4F73" w:rsidRDefault="0053525C" w:rsidP="001D7386">
            <w:pPr>
              <w:jc w:val="center"/>
            </w:pPr>
            <w:r w:rsidRPr="00CF4F73">
              <w:t>Pripravila:</w:t>
            </w:r>
          </w:p>
          <w:p w:rsidR="0053525C" w:rsidRPr="00CF4F73" w:rsidRDefault="0053525C" w:rsidP="001D7386">
            <w:pPr>
              <w:jc w:val="center"/>
            </w:pPr>
            <w:r w:rsidRPr="00CF4F73">
              <w:t>Milka Bauer</w:t>
            </w:r>
          </w:p>
          <w:p w:rsidR="0053525C" w:rsidRPr="002C7A6D" w:rsidRDefault="0053525C" w:rsidP="001D7386">
            <w:pPr>
              <w:jc w:val="center"/>
              <w:rPr>
                <w:color w:val="000000"/>
                <w:sz w:val="20"/>
                <w:szCs w:val="20"/>
              </w:rPr>
            </w:pPr>
            <w:r w:rsidRPr="002C7A6D">
              <w:rPr>
                <w:color w:val="000000"/>
                <w:sz w:val="20"/>
                <w:szCs w:val="20"/>
              </w:rPr>
              <w:t>Višji svetovalec za področje</w:t>
            </w:r>
          </w:p>
          <w:p w:rsidR="0053525C" w:rsidRPr="00CF4F73" w:rsidRDefault="0053525C" w:rsidP="001D7386">
            <w:pPr>
              <w:jc w:val="center"/>
            </w:pPr>
            <w:r w:rsidRPr="002C7A6D">
              <w:rPr>
                <w:color w:val="000000"/>
                <w:sz w:val="20"/>
                <w:szCs w:val="20"/>
              </w:rPr>
              <w:t>kulture, športa in dejavnosti mladih</w:t>
            </w:r>
          </w:p>
        </w:tc>
        <w:tc>
          <w:tcPr>
            <w:tcW w:w="2508" w:type="dxa"/>
            <w:shd w:val="clear" w:color="auto" w:fill="auto"/>
          </w:tcPr>
          <w:p w:rsidR="0053525C" w:rsidRPr="00CF4F73" w:rsidRDefault="0053525C" w:rsidP="001D7386"/>
        </w:tc>
        <w:tc>
          <w:tcPr>
            <w:tcW w:w="3233" w:type="dxa"/>
            <w:shd w:val="clear" w:color="auto" w:fill="auto"/>
          </w:tcPr>
          <w:p w:rsidR="0053525C" w:rsidRPr="00CF4F73" w:rsidRDefault="0053525C" w:rsidP="001D7386">
            <w:pPr>
              <w:jc w:val="center"/>
            </w:pPr>
          </w:p>
        </w:tc>
      </w:tr>
    </w:tbl>
    <w:p w:rsidR="0053525C" w:rsidRDefault="0053525C" w:rsidP="0053525C"/>
    <w:p w:rsidR="002C7A6D" w:rsidRPr="00CF4F73" w:rsidRDefault="002C7A6D" w:rsidP="0053525C"/>
    <w:tbl>
      <w:tblPr>
        <w:tblW w:w="0" w:type="auto"/>
        <w:tblLook w:val="04A0" w:firstRow="1" w:lastRow="0" w:firstColumn="1" w:lastColumn="0" w:noHBand="0" w:noVBand="1"/>
      </w:tblPr>
      <w:tblGrid>
        <w:gridCol w:w="3686"/>
        <w:gridCol w:w="2143"/>
        <w:gridCol w:w="3241"/>
      </w:tblGrid>
      <w:tr w:rsidR="0053525C" w:rsidRPr="00CF4F73" w:rsidTr="001D7386">
        <w:tc>
          <w:tcPr>
            <w:tcW w:w="3686" w:type="dxa"/>
            <w:shd w:val="clear" w:color="auto" w:fill="auto"/>
          </w:tcPr>
          <w:p w:rsidR="0053525C" w:rsidRPr="00CF4F73" w:rsidRDefault="0053525C" w:rsidP="001D7386">
            <w:pPr>
              <w:jc w:val="center"/>
            </w:pPr>
            <w:r w:rsidRPr="00CF4F73">
              <w:t>Kristina Zelić</w:t>
            </w:r>
          </w:p>
          <w:p w:rsidR="0053525C" w:rsidRPr="00CF4F73" w:rsidRDefault="0053525C" w:rsidP="001D7386">
            <w:pPr>
              <w:jc w:val="center"/>
              <w:rPr>
                <w:i/>
              </w:rPr>
            </w:pPr>
            <w:r w:rsidRPr="00CF4F73">
              <w:t>Podsekretar – Vodja UDD</w:t>
            </w:r>
          </w:p>
        </w:tc>
        <w:tc>
          <w:tcPr>
            <w:tcW w:w="2143" w:type="dxa"/>
            <w:shd w:val="clear" w:color="auto" w:fill="auto"/>
          </w:tcPr>
          <w:p w:rsidR="0053525C" w:rsidRPr="00CF4F73" w:rsidRDefault="0053525C" w:rsidP="001D7386"/>
        </w:tc>
        <w:tc>
          <w:tcPr>
            <w:tcW w:w="3241" w:type="dxa"/>
            <w:shd w:val="clear" w:color="auto" w:fill="auto"/>
          </w:tcPr>
          <w:p w:rsidR="0053525C" w:rsidRPr="00CF4F73" w:rsidRDefault="0053525C" w:rsidP="001D7386">
            <w:pPr>
              <w:jc w:val="center"/>
            </w:pPr>
            <w:r w:rsidRPr="00CF4F73">
              <w:t>Danilo Markočič</w:t>
            </w:r>
          </w:p>
          <w:p w:rsidR="0053525C" w:rsidRPr="00CF4F73" w:rsidRDefault="0053525C" w:rsidP="001D7386">
            <w:pPr>
              <w:jc w:val="center"/>
            </w:pPr>
            <w:r w:rsidRPr="00CF4F73">
              <w:t>Župan</w:t>
            </w:r>
          </w:p>
        </w:tc>
      </w:tr>
    </w:tbl>
    <w:p w:rsidR="00100856" w:rsidRDefault="00100856" w:rsidP="0053525C">
      <w:pPr>
        <w:jc w:val="both"/>
      </w:pPr>
    </w:p>
    <w:p w:rsidR="00421CDC" w:rsidRDefault="00421CDC" w:rsidP="0053525C">
      <w:pPr>
        <w:jc w:val="both"/>
      </w:pPr>
    </w:p>
    <w:p w:rsidR="00421CDC" w:rsidRDefault="00421CDC" w:rsidP="0053525C">
      <w:pPr>
        <w:jc w:val="both"/>
      </w:pPr>
    </w:p>
    <w:p w:rsidR="00421CDC" w:rsidRDefault="00421CDC" w:rsidP="0053525C">
      <w:pPr>
        <w:jc w:val="both"/>
      </w:pPr>
    </w:p>
    <w:p w:rsidR="007759E7" w:rsidRPr="00CF4F73" w:rsidRDefault="000D1B93" w:rsidP="007759E7">
      <w:pPr>
        <w:jc w:val="right"/>
      </w:pPr>
      <w:bookmarkStart w:id="2" w:name="_GoBack"/>
      <w:bookmarkEnd w:id="2"/>
      <w:r w:rsidRPr="000D1B93">
        <w:rPr>
          <w:bCs/>
          <w:color w:val="000000"/>
        </w:rPr>
        <w:lastRenderedPageBreak/>
        <w:t>PRILOGA II.</w:t>
      </w:r>
    </w:p>
    <w:tbl>
      <w:tblPr>
        <w:tblW w:w="0" w:type="auto"/>
        <w:tblLook w:val="01E0" w:firstRow="1" w:lastRow="1" w:firstColumn="1" w:lastColumn="1" w:noHBand="0" w:noVBand="0"/>
      </w:tblPr>
      <w:tblGrid>
        <w:gridCol w:w="1045"/>
        <w:gridCol w:w="4508"/>
        <w:gridCol w:w="3519"/>
      </w:tblGrid>
      <w:tr w:rsidR="009A61C1" w:rsidRPr="00CA1A2E" w:rsidTr="009A61C1">
        <w:tc>
          <w:tcPr>
            <w:tcW w:w="1045" w:type="dxa"/>
          </w:tcPr>
          <w:p w:rsidR="009A61C1" w:rsidRPr="00CA1A2E" w:rsidRDefault="009A61C1" w:rsidP="001D7386">
            <w:pPr>
              <w:jc w:val="both"/>
            </w:pPr>
            <w:r w:rsidRPr="00CA1A2E">
              <w:rPr>
                <w:noProof/>
              </w:rPr>
              <w:drawing>
                <wp:anchor distT="0" distB="0" distL="114300" distR="114300" simplePos="0" relativeHeight="251662336" behindDoc="0" locked="0" layoutInCell="1" allowOverlap="1" wp14:anchorId="045B53AB" wp14:editId="3EA57E45">
                  <wp:simplePos x="0" y="0"/>
                  <wp:positionH relativeFrom="page">
                    <wp:posOffset>-44450</wp:posOffset>
                  </wp:positionH>
                  <wp:positionV relativeFrom="page">
                    <wp:posOffset>-1905</wp:posOffset>
                  </wp:positionV>
                  <wp:extent cx="525145" cy="629285"/>
                  <wp:effectExtent l="0" t="0" r="0" b="0"/>
                  <wp:wrapSquare wrapText="bothSides"/>
                  <wp:docPr id="5" name="Slika 5"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rsidR="009A61C1" w:rsidRPr="00CA1A2E" w:rsidRDefault="009A61C1" w:rsidP="001D7386">
            <w:pPr>
              <w:rPr>
                <w:b/>
              </w:rPr>
            </w:pPr>
            <w:r w:rsidRPr="00CA1A2E">
              <w:rPr>
                <w:b/>
              </w:rPr>
              <w:t>OBČINA IZOLA – COMUNE DI ISOLA</w:t>
            </w:r>
          </w:p>
          <w:p w:rsidR="009A61C1" w:rsidRPr="00CA1A2E" w:rsidRDefault="009A61C1" w:rsidP="001D7386">
            <w:pPr>
              <w:rPr>
                <w:b/>
                <w:iCs/>
                <w:sz w:val="20"/>
                <w:szCs w:val="20"/>
              </w:rPr>
            </w:pPr>
            <w:r w:rsidRPr="00CA1A2E">
              <w:rPr>
                <w:b/>
                <w:iCs/>
                <w:sz w:val="20"/>
                <w:szCs w:val="20"/>
              </w:rPr>
              <w:t xml:space="preserve">OBČINSKI SVET – CONSIGLIO COMUNALE </w:t>
            </w:r>
          </w:p>
          <w:p w:rsidR="009A61C1" w:rsidRPr="00CA1A2E" w:rsidRDefault="009A61C1" w:rsidP="001D7386">
            <w:pPr>
              <w:rPr>
                <w:iCs/>
                <w:sz w:val="20"/>
                <w:szCs w:val="20"/>
              </w:rPr>
            </w:pPr>
            <w:r w:rsidRPr="00CA1A2E">
              <w:rPr>
                <w:iCs/>
                <w:sz w:val="20"/>
                <w:szCs w:val="20"/>
              </w:rPr>
              <w:t>Sončno nabrežje 8 – Riva del Sole 8</w:t>
            </w:r>
          </w:p>
          <w:p w:rsidR="009A61C1" w:rsidRPr="00CA1A2E" w:rsidRDefault="009A61C1" w:rsidP="001D7386">
            <w:pPr>
              <w:rPr>
                <w:iCs/>
                <w:sz w:val="20"/>
                <w:szCs w:val="20"/>
              </w:rPr>
            </w:pPr>
            <w:r w:rsidRPr="00CA1A2E">
              <w:rPr>
                <w:iCs/>
                <w:sz w:val="20"/>
                <w:szCs w:val="20"/>
              </w:rPr>
              <w:t xml:space="preserve">6310 Izola – </w:t>
            </w:r>
            <w:proofErr w:type="spellStart"/>
            <w:r w:rsidRPr="00CA1A2E">
              <w:rPr>
                <w:iCs/>
                <w:sz w:val="20"/>
                <w:szCs w:val="20"/>
              </w:rPr>
              <w:t>Isola</w:t>
            </w:r>
            <w:proofErr w:type="spellEnd"/>
          </w:p>
          <w:p w:rsidR="009A61C1" w:rsidRPr="00CA1A2E" w:rsidRDefault="009A61C1" w:rsidP="001D7386">
            <w:pPr>
              <w:rPr>
                <w:iCs/>
                <w:sz w:val="20"/>
                <w:szCs w:val="20"/>
              </w:rPr>
            </w:pPr>
            <w:r w:rsidRPr="00CA1A2E">
              <w:rPr>
                <w:iCs/>
                <w:sz w:val="20"/>
                <w:szCs w:val="20"/>
              </w:rPr>
              <w:t>Tel: 05 66 00 100</w:t>
            </w:r>
          </w:p>
          <w:p w:rsidR="009A61C1" w:rsidRPr="00CA1A2E" w:rsidRDefault="009A61C1" w:rsidP="001D7386">
            <w:pPr>
              <w:rPr>
                <w:iCs/>
                <w:sz w:val="20"/>
                <w:szCs w:val="20"/>
              </w:rPr>
            </w:pPr>
            <w:r w:rsidRPr="00CA1A2E">
              <w:rPr>
                <w:iCs/>
                <w:sz w:val="20"/>
                <w:szCs w:val="20"/>
              </w:rPr>
              <w:t xml:space="preserve">E-mail: </w:t>
            </w:r>
            <w:hyperlink r:id="rId12" w:history="1">
              <w:r w:rsidRPr="00CA1A2E">
                <w:rPr>
                  <w:rStyle w:val="Hiperpovezava"/>
                  <w:iCs/>
                  <w:sz w:val="20"/>
                </w:rPr>
                <w:t>posta.oizola@izola.si</w:t>
              </w:r>
            </w:hyperlink>
          </w:p>
          <w:p w:rsidR="009A61C1" w:rsidRPr="00CA1A2E" w:rsidRDefault="009A61C1" w:rsidP="001D7386">
            <w:pPr>
              <w:jc w:val="both"/>
              <w:rPr>
                <w:i/>
                <w:iCs/>
                <w:sz w:val="20"/>
                <w:szCs w:val="20"/>
              </w:rPr>
            </w:pPr>
            <w:proofErr w:type="spellStart"/>
            <w:r w:rsidRPr="00CA1A2E">
              <w:rPr>
                <w:iCs/>
                <w:sz w:val="20"/>
                <w:szCs w:val="20"/>
              </w:rPr>
              <w:t>Web</w:t>
            </w:r>
            <w:proofErr w:type="spellEnd"/>
            <w:r w:rsidRPr="00CA1A2E">
              <w:rPr>
                <w:iCs/>
                <w:sz w:val="20"/>
                <w:szCs w:val="20"/>
              </w:rPr>
              <w:t xml:space="preserve">: </w:t>
            </w:r>
            <w:hyperlink r:id="rId13" w:history="1">
              <w:r w:rsidRPr="00CA1A2E">
                <w:rPr>
                  <w:rStyle w:val="Hiperpovezava"/>
                  <w:iCs/>
                  <w:sz w:val="20"/>
                </w:rPr>
                <w:t>http://www.izola.si/</w:t>
              </w:r>
            </w:hyperlink>
          </w:p>
        </w:tc>
        <w:tc>
          <w:tcPr>
            <w:tcW w:w="3519" w:type="dxa"/>
          </w:tcPr>
          <w:p w:rsidR="009A61C1" w:rsidRPr="00CA1A2E" w:rsidRDefault="009A61C1" w:rsidP="001D7386">
            <w:pPr>
              <w:rPr>
                <w:b/>
              </w:rPr>
            </w:pPr>
          </w:p>
        </w:tc>
      </w:tr>
    </w:tbl>
    <w:p w:rsidR="0053525C" w:rsidRPr="00CA1A2E" w:rsidRDefault="0053525C" w:rsidP="0053525C">
      <w:pPr>
        <w:jc w:val="both"/>
        <w:rPr>
          <w:sz w:val="23"/>
          <w:szCs w:val="23"/>
        </w:rPr>
      </w:pPr>
    </w:p>
    <w:p w:rsidR="0053525C" w:rsidRPr="00CF4F73" w:rsidRDefault="009A61C1" w:rsidP="0053525C">
      <w:pPr>
        <w:jc w:val="both"/>
      </w:pPr>
      <w:r>
        <w:t xml:space="preserve">Številka: </w:t>
      </w:r>
      <w:r w:rsidR="003053A2">
        <w:t>620-1/2016</w:t>
      </w:r>
    </w:p>
    <w:p w:rsidR="0053525C" w:rsidRPr="00CF4F73" w:rsidRDefault="0053525C" w:rsidP="0053525C">
      <w:pPr>
        <w:jc w:val="both"/>
      </w:pPr>
      <w:r w:rsidRPr="00CF4F73">
        <w:t>Datum:</w:t>
      </w:r>
    </w:p>
    <w:p w:rsidR="0053525C" w:rsidRPr="00CF4F73" w:rsidRDefault="0053525C" w:rsidP="0053525C">
      <w:pPr>
        <w:jc w:val="both"/>
      </w:pPr>
    </w:p>
    <w:p w:rsidR="0053525C" w:rsidRPr="00CF4F73" w:rsidRDefault="000027A1" w:rsidP="0053525C">
      <w:pPr>
        <w:jc w:val="both"/>
      </w:pPr>
      <w:r w:rsidRPr="00043DBC">
        <w:t>Na podlagi Zakona o uresničevanju javnega interesa za kulturo (Uradni list RS, št. 77/07 –</w:t>
      </w:r>
      <w:r w:rsidRPr="000027A1">
        <w:t xml:space="preserve"> uradno prečiščeno besedilo, 56/08, 4/10, 20/11, 111/13, 68/16, 61/17 in 21/18 – </w:t>
      </w:r>
      <w:proofErr w:type="spellStart"/>
      <w:r w:rsidRPr="000027A1">
        <w:t>ZNOrg</w:t>
      </w:r>
      <w:proofErr w:type="spellEnd"/>
      <w:r w:rsidRPr="000027A1">
        <w:t xml:space="preserve">) </w:t>
      </w:r>
      <w:r w:rsidR="0053525C" w:rsidRPr="009A61C1">
        <w:t>in 30. člena Statuta Občine Izola (Uradne objave Občine Izola, št. 5/18 - uradno prečiščeno besedilo) je Občinski svet Občine Izola na svoji ……….. seji dne .........</w:t>
      </w:r>
      <w:r w:rsidR="00140E43">
        <w:t>.............. sprejel naslednji</w:t>
      </w:r>
    </w:p>
    <w:p w:rsidR="0053525C" w:rsidRDefault="0053525C" w:rsidP="0053525C">
      <w:pPr>
        <w:jc w:val="both"/>
      </w:pPr>
    </w:p>
    <w:p w:rsidR="00043DBC" w:rsidRDefault="00043DBC" w:rsidP="0053525C">
      <w:pPr>
        <w:jc w:val="both"/>
      </w:pPr>
    </w:p>
    <w:p w:rsidR="00043DBC" w:rsidRPr="00CF4F73" w:rsidRDefault="00043DBC" w:rsidP="0053525C">
      <w:pPr>
        <w:jc w:val="both"/>
      </w:pPr>
    </w:p>
    <w:p w:rsidR="000027A1" w:rsidRDefault="000027A1" w:rsidP="0053525C">
      <w:pPr>
        <w:jc w:val="center"/>
        <w:rPr>
          <w:b/>
        </w:rPr>
      </w:pPr>
    </w:p>
    <w:p w:rsidR="0053525C" w:rsidRPr="00CF4F73" w:rsidRDefault="00330A7B" w:rsidP="0053525C">
      <w:pPr>
        <w:jc w:val="center"/>
        <w:rPr>
          <w:b/>
        </w:rPr>
      </w:pPr>
      <w:r>
        <w:rPr>
          <w:b/>
        </w:rPr>
        <w:t>S K L E P</w:t>
      </w:r>
    </w:p>
    <w:p w:rsidR="0053525C" w:rsidRDefault="006B4235" w:rsidP="009138A7">
      <w:pPr>
        <w:jc w:val="center"/>
      </w:pPr>
      <w:r>
        <w:rPr>
          <w:b/>
        </w:rPr>
        <w:t>h</w:t>
      </w:r>
      <w:r w:rsidR="0053525C" w:rsidRPr="00CF4F73">
        <w:rPr>
          <w:b/>
        </w:rPr>
        <w:t xml:space="preserve"> </w:t>
      </w:r>
      <w:r w:rsidR="009138A7">
        <w:rPr>
          <w:b/>
        </w:rPr>
        <w:t>kandidaturi</w:t>
      </w:r>
      <w:r w:rsidR="009138A7" w:rsidRPr="009138A7">
        <w:rPr>
          <w:b/>
        </w:rPr>
        <w:t xml:space="preserve"> za Evropsko prestoln</w:t>
      </w:r>
      <w:r w:rsidR="009138A7">
        <w:rPr>
          <w:b/>
        </w:rPr>
        <w:t>ico kulture PI2025 v drugi fazi</w:t>
      </w:r>
    </w:p>
    <w:p w:rsidR="006F74DD" w:rsidRDefault="006F74DD" w:rsidP="0053525C">
      <w:pPr>
        <w:jc w:val="both"/>
      </w:pPr>
    </w:p>
    <w:p w:rsidR="00043DBC" w:rsidRPr="00CF4F73" w:rsidRDefault="00043DBC" w:rsidP="0053525C">
      <w:pPr>
        <w:jc w:val="both"/>
      </w:pPr>
    </w:p>
    <w:p w:rsidR="0053525C" w:rsidRPr="00CF4F73" w:rsidRDefault="0053525C" w:rsidP="00D4607A">
      <w:pPr>
        <w:pStyle w:val="Odstavekseznama"/>
        <w:numPr>
          <w:ilvl w:val="0"/>
          <w:numId w:val="15"/>
        </w:numPr>
        <w:jc w:val="center"/>
      </w:pPr>
    </w:p>
    <w:p w:rsidR="0053525C" w:rsidRDefault="0053525C" w:rsidP="0053525C">
      <w:pPr>
        <w:jc w:val="both"/>
      </w:pPr>
      <w:r w:rsidRPr="00CF4F73">
        <w:t xml:space="preserve">Občinski svet Občine Izola </w:t>
      </w:r>
      <w:r w:rsidR="009138A7" w:rsidRPr="009138A7">
        <w:t>potrjuje kandidaturo za Evropsko prestolnico kulture PI2025 v drugi fazi.</w:t>
      </w:r>
    </w:p>
    <w:p w:rsidR="006F74DD" w:rsidRPr="00CF4F73" w:rsidRDefault="006F74DD" w:rsidP="0053525C">
      <w:pPr>
        <w:jc w:val="both"/>
      </w:pPr>
    </w:p>
    <w:p w:rsidR="00D4607A" w:rsidRPr="00CF4F73" w:rsidRDefault="00D4607A" w:rsidP="00C57A54">
      <w:pPr>
        <w:jc w:val="both"/>
      </w:pPr>
    </w:p>
    <w:p w:rsidR="00C57A54" w:rsidRPr="00CF4F73" w:rsidRDefault="00C57A54" w:rsidP="00C57A54">
      <w:pPr>
        <w:pStyle w:val="Odstavekseznama"/>
        <w:numPr>
          <w:ilvl w:val="0"/>
          <w:numId w:val="15"/>
        </w:numPr>
        <w:jc w:val="center"/>
      </w:pPr>
    </w:p>
    <w:p w:rsidR="0053525C" w:rsidRPr="00CF4F73" w:rsidRDefault="0053525C" w:rsidP="0053525C">
      <w:pPr>
        <w:jc w:val="both"/>
      </w:pPr>
      <w:r w:rsidRPr="00CF4F73">
        <w:t>T</w:t>
      </w:r>
      <w:r w:rsidR="00330A7B">
        <w:t>a</w:t>
      </w:r>
      <w:r w:rsidRPr="00CF4F73">
        <w:t xml:space="preserve"> s</w:t>
      </w:r>
      <w:r w:rsidR="00330A7B">
        <w:t>klep</w:t>
      </w:r>
      <w:r w:rsidR="00ED515D">
        <w:t xml:space="preserve"> </w:t>
      </w:r>
      <w:r w:rsidRPr="00CF4F73">
        <w:t>velja takoj.</w:t>
      </w:r>
    </w:p>
    <w:p w:rsidR="0053525C" w:rsidRPr="00CF4F73" w:rsidRDefault="0053525C" w:rsidP="0053525C">
      <w:pPr>
        <w:jc w:val="center"/>
      </w:pPr>
    </w:p>
    <w:p w:rsidR="0053525C" w:rsidRDefault="0053525C" w:rsidP="0053525C"/>
    <w:p w:rsidR="00D4607A" w:rsidRDefault="00D4607A" w:rsidP="0053525C"/>
    <w:p w:rsidR="00D4607A" w:rsidRPr="00CF4F73" w:rsidRDefault="00D4607A" w:rsidP="0053525C"/>
    <w:p w:rsidR="0053525C" w:rsidRPr="00CF4F73" w:rsidRDefault="0053525C" w:rsidP="0053525C">
      <w:r w:rsidRPr="00CF4F73">
        <w:t xml:space="preserve">                                                                 </w:t>
      </w:r>
    </w:p>
    <w:p w:rsidR="0053525C" w:rsidRPr="00CF4F73" w:rsidRDefault="0053525C" w:rsidP="0053525C">
      <w:r w:rsidRPr="00CF4F73">
        <w:t xml:space="preserve">                                                                                                           Ž u p a n</w:t>
      </w:r>
    </w:p>
    <w:p w:rsidR="0053525C" w:rsidRPr="00CF4F73" w:rsidRDefault="0053525C" w:rsidP="0053525C">
      <w:r w:rsidRPr="00CF4F73">
        <w:t xml:space="preserve">                                                                                                  Danilo MARKOČIČ</w:t>
      </w:r>
    </w:p>
    <w:p w:rsidR="0053525C" w:rsidRPr="00CA1A2E" w:rsidRDefault="0053525C" w:rsidP="0053525C">
      <w:pPr>
        <w:rPr>
          <w:sz w:val="23"/>
          <w:szCs w:val="23"/>
        </w:rPr>
      </w:pPr>
    </w:p>
    <w:p w:rsidR="0053525C" w:rsidRDefault="0053525C" w:rsidP="0053525C">
      <w:pPr>
        <w:rPr>
          <w:b/>
          <w:sz w:val="23"/>
          <w:szCs w:val="23"/>
        </w:rPr>
      </w:pPr>
    </w:p>
    <w:p w:rsidR="0053525C" w:rsidRPr="00CA1A2E" w:rsidRDefault="0053525C" w:rsidP="0053525C">
      <w:pPr>
        <w:rPr>
          <w:b/>
          <w:sz w:val="23"/>
          <w:szCs w:val="23"/>
        </w:rPr>
      </w:pPr>
    </w:p>
    <w:p w:rsidR="0053525C" w:rsidRDefault="0053525C" w:rsidP="0053525C">
      <w:pPr>
        <w:rPr>
          <w:b/>
          <w:sz w:val="23"/>
          <w:szCs w:val="23"/>
        </w:rPr>
      </w:pPr>
    </w:p>
    <w:p w:rsidR="00330A7B" w:rsidRDefault="00330A7B" w:rsidP="0053525C">
      <w:pPr>
        <w:rPr>
          <w:b/>
          <w:sz w:val="23"/>
          <w:szCs w:val="23"/>
        </w:rPr>
      </w:pPr>
    </w:p>
    <w:p w:rsidR="006F74DD" w:rsidRDefault="006F74DD" w:rsidP="0053525C">
      <w:pPr>
        <w:rPr>
          <w:b/>
          <w:sz w:val="23"/>
          <w:szCs w:val="23"/>
        </w:rPr>
      </w:pPr>
    </w:p>
    <w:p w:rsidR="002C7A6D" w:rsidRDefault="002C7A6D" w:rsidP="0053525C">
      <w:pPr>
        <w:rPr>
          <w:b/>
          <w:sz w:val="23"/>
          <w:szCs w:val="23"/>
        </w:rPr>
      </w:pPr>
    </w:p>
    <w:p w:rsidR="002C7A6D" w:rsidRDefault="002C7A6D" w:rsidP="0053525C">
      <w:pPr>
        <w:rPr>
          <w:b/>
          <w:sz w:val="23"/>
          <w:szCs w:val="23"/>
        </w:rPr>
      </w:pPr>
    </w:p>
    <w:p w:rsidR="002C7A6D" w:rsidRDefault="002C7A6D" w:rsidP="0053525C">
      <w:pPr>
        <w:rPr>
          <w:b/>
          <w:sz w:val="23"/>
          <w:szCs w:val="23"/>
        </w:rPr>
      </w:pPr>
    </w:p>
    <w:p w:rsidR="0053525C" w:rsidRPr="00CA1A2E" w:rsidRDefault="0053525C" w:rsidP="0053525C">
      <w:pPr>
        <w:rPr>
          <w:b/>
          <w:sz w:val="20"/>
          <w:szCs w:val="20"/>
        </w:rPr>
      </w:pPr>
    </w:p>
    <w:p w:rsidR="0053525C" w:rsidRPr="00CA1A2E" w:rsidRDefault="00F113C8" w:rsidP="0053525C">
      <w:pPr>
        <w:rPr>
          <w:sz w:val="20"/>
          <w:szCs w:val="20"/>
        </w:rPr>
      </w:pPr>
      <w:r>
        <w:rPr>
          <w:sz w:val="20"/>
          <w:szCs w:val="20"/>
        </w:rPr>
        <w:t>Sklep prejme</w:t>
      </w:r>
      <w:r w:rsidR="0053525C" w:rsidRPr="00CA1A2E">
        <w:rPr>
          <w:sz w:val="20"/>
          <w:szCs w:val="20"/>
        </w:rPr>
        <w:t>:</w:t>
      </w:r>
    </w:p>
    <w:p w:rsidR="006945E2" w:rsidRDefault="0053525C" w:rsidP="00834548">
      <w:pPr>
        <w:numPr>
          <w:ilvl w:val="0"/>
          <w:numId w:val="1"/>
        </w:numPr>
      </w:pPr>
      <w:r w:rsidRPr="00D4607A">
        <w:rPr>
          <w:sz w:val="20"/>
          <w:szCs w:val="20"/>
        </w:rPr>
        <w:t>Urad za družbene dejavnosti.</w:t>
      </w:r>
    </w:p>
    <w:sectPr w:rsidR="006945E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F7" w:rsidRDefault="000E6CF7" w:rsidP="000E6CF7">
      <w:r>
        <w:separator/>
      </w:r>
    </w:p>
  </w:endnote>
  <w:endnote w:type="continuationSeparator" w:id="0">
    <w:p w:rsidR="000E6CF7" w:rsidRDefault="000E6CF7" w:rsidP="000E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lliance No.1 SemiBold">
    <w:altName w:val="Alliance No.1 SemiBold"/>
    <w:panose1 w:val="00000000000000000000"/>
    <w:charset w:val="EE"/>
    <w:family w:val="swiss"/>
    <w:notTrueType/>
    <w:pitch w:val="default"/>
    <w:sig w:usb0="00000007" w:usb1="00000000" w:usb2="00000000" w:usb3="00000000" w:csb0="00000003" w:csb1="00000000"/>
  </w:font>
  <w:font w:name="Alliance No.1">
    <w:altName w:val="Alliance No.1"/>
    <w:panose1 w:val="00000000000000000000"/>
    <w:charset w:val="EE"/>
    <w:family w:val="swiss"/>
    <w:notTrueType/>
    <w:pitch w:val="default"/>
    <w:sig w:usb0="00000007" w:usb1="00000000" w:usb2="00000000" w:usb3="00000000" w:csb0="00000003" w:csb1="00000000"/>
  </w:font>
  <w:font w:name="OpenSymbol">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F7" w:rsidRDefault="000E6CF7" w:rsidP="000E6CF7">
    <w:pPr>
      <w:pStyle w:val="Noga"/>
      <w:jc w:val="right"/>
    </w:pPr>
    <w:r w:rsidRPr="003208C4">
      <w:rPr>
        <w:noProof/>
      </w:rPr>
      <w:drawing>
        <wp:inline distT="0" distB="0" distL="0" distR="0">
          <wp:extent cx="1371600" cy="600710"/>
          <wp:effectExtent l="0" t="0" r="0" b="8890"/>
          <wp:docPr id="1" name="Slika 1"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0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F7" w:rsidRDefault="000E6CF7" w:rsidP="000E6CF7">
      <w:r>
        <w:separator/>
      </w:r>
    </w:p>
  </w:footnote>
  <w:footnote w:type="continuationSeparator" w:id="0">
    <w:p w:rsidR="000E6CF7" w:rsidRDefault="000E6CF7" w:rsidP="000E6C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1A5"/>
    <w:multiLevelType w:val="hybridMultilevel"/>
    <w:tmpl w:val="C578373C"/>
    <w:lvl w:ilvl="0" w:tplc="07B62A4A">
      <w:numFmt w:val="bullet"/>
      <w:lvlText w:val="-"/>
      <w:lvlJc w:val="left"/>
      <w:pPr>
        <w:ind w:left="1413" w:hanging="705"/>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40733DA"/>
    <w:multiLevelType w:val="hybridMultilevel"/>
    <w:tmpl w:val="EE9A48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933586"/>
    <w:multiLevelType w:val="hybridMultilevel"/>
    <w:tmpl w:val="D0F62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7F0240"/>
    <w:multiLevelType w:val="hybridMultilevel"/>
    <w:tmpl w:val="0B787F2C"/>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15B3B"/>
    <w:multiLevelType w:val="hybridMultilevel"/>
    <w:tmpl w:val="B3DEC52C"/>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734A32"/>
    <w:multiLevelType w:val="hybridMultilevel"/>
    <w:tmpl w:val="346C762C"/>
    <w:lvl w:ilvl="0" w:tplc="A52AF03C">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CD6F3E"/>
    <w:multiLevelType w:val="hybridMultilevel"/>
    <w:tmpl w:val="DFB6EE88"/>
    <w:lvl w:ilvl="0" w:tplc="A52AF03C">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72A34"/>
    <w:multiLevelType w:val="hybridMultilevel"/>
    <w:tmpl w:val="6A025F4E"/>
    <w:lvl w:ilvl="0" w:tplc="C178BB1A">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262ABC"/>
    <w:multiLevelType w:val="hybridMultilevel"/>
    <w:tmpl w:val="B38468D2"/>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A65620"/>
    <w:multiLevelType w:val="hybridMultilevel"/>
    <w:tmpl w:val="8A3EE51C"/>
    <w:lvl w:ilvl="0" w:tplc="07B62A4A">
      <w:numFmt w:val="bullet"/>
      <w:lvlText w:val="-"/>
      <w:lvlJc w:val="left"/>
      <w:pPr>
        <w:ind w:left="1131" w:hanging="705"/>
      </w:pPr>
      <w:rPr>
        <w:rFonts w:ascii="Times New Roman" w:eastAsia="Times New Roman" w:hAnsi="Times New Roman" w:cs="Times New Roman" w:hint="default"/>
      </w:rPr>
    </w:lvl>
    <w:lvl w:ilvl="1" w:tplc="04240003" w:tentative="1">
      <w:start w:val="1"/>
      <w:numFmt w:val="bullet"/>
      <w:lvlText w:val="o"/>
      <w:lvlJc w:val="left"/>
      <w:pPr>
        <w:ind w:left="1158" w:hanging="360"/>
      </w:pPr>
      <w:rPr>
        <w:rFonts w:ascii="Courier New" w:hAnsi="Courier New" w:cs="Courier New" w:hint="default"/>
      </w:rPr>
    </w:lvl>
    <w:lvl w:ilvl="2" w:tplc="04240005" w:tentative="1">
      <w:start w:val="1"/>
      <w:numFmt w:val="bullet"/>
      <w:lvlText w:val=""/>
      <w:lvlJc w:val="left"/>
      <w:pPr>
        <w:ind w:left="1878" w:hanging="360"/>
      </w:pPr>
      <w:rPr>
        <w:rFonts w:ascii="Wingdings" w:hAnsi="Wingdings" w:hint="default"/>
      </w:rPr>
    </w:lvl>
    <w:lvl w:ilvl="3" w:tplc="04240001" w:tentative="1">
      <w:start w:val="1"/>
      <w:numFmt w:val="bullet"/>
      <w:lvlText w:val=""/>
      <w:lvlJc w:val="left"/>
      <w:pPr>
        <w:ind w:left="2598" w:hanging="360"/>
      </w:pPr>
      <w:rPr>
        <w:rFonts w:ascii="Symbol" w:hAnsi="Symbol" w:hint="default"/>
      </w:rPr>
    </w:lvl>
    <w:lvl w:ilvl="4" w:tplc="04240003" w:tentative="1">
      <w:start w:val="1"/>
      <w:numFmt w:val="bullet"/>
      <w:lvlText w:val="o"/>
      <w:lvlJc w:val="left"/>
      <w:pPr>
        <w:ind w:left="3318" w:hanging="360"/>
      </w:pPr>
      <w:rPr>
        <w:rFonts w:ascii="Courier New" w:hAnsi="Courier New" w:cs="Courier New" w:hint="default"/>
      </w:rPr>
    </w:lvl>
    <w:lvl w:ilvl="5" w:tplc="04240005" w:tentative="1">
      <w:start w:val="1"/>
      <w:numFmt w:val="bullet"/>
      <w:lvlText w:val=""/>
      <w:lvlJc w:val="left"/>
      <w:pPr>
        <w:ind w:left="4038" w:hanging="360"/>
      </w:pPr>
      <w:rPr>
        <w:rFonts w:ascii="Wingdings" w:hAnsi="Wingdings" w:hint="default"/>
      </w:rPr>
    </w:lvl>
    <w:lvl w:ilvl="6" w:tplc="04240001" w:tentative="1">
      <w:start w:val="1"/>
      <w:numFmt w:val="bullet"/>
      <w:lvlText w:val=""/>
      <w:lvlJc w:val="left"/>
      <w:pPr>
        <w:ind w:left="4758" w:hanging="360"/>
      </w:pPr>
      <w:rPr>
        <w:rFonts w:ascii="Symbol" w:hAnsi="Symbol" w:hint="default"/>
      </w:rPr>
    </w:lvl>
    <w:lvl w:ilvl="7" w:tplc="04240003" w:tentative="1">
      <w:start w:val="1"/>
      <w:numFmt w:val="bullet"/>
      <w:lvlText w:val="o"/>
      <w:lvlJc w:val="left"/>
      <w:pPr>
        <w:ind w:left="5478" w:hanging="360"/>
      </w:pPr>
      <w:rPr>
        <w:rFonts w:ascii="Courier New" w:hAnsi="Courier New" w:cs="Courier New" w:hint="default"/>
      </w:rPr>
    </w:lvl>
    <w:lvl w:ilvl="8" w:tplc="04240005" w:tentative="1">
      <w:start w:val="1"/>
      <w:numFmt w:val="bullet"/>
      <w:lvlText w:val=""/>
      <w:lvlJc w:val="left"/>
      <w:pPr>
        <w:ind w:left="6198" w:hanging="360"/>
      </w:pPr>
      <w:rPr>
        <w:rFonts w:ascii="Wingdings" w:hAnsi="Wingdings" w:hint="default"/>
      </w:rPr>
    </w:lvl>
  </w:abstractNum>
  <w:abstractNum w:abstractNumId="10" w15:restartNumberingAfterBreak="0">
    <w:nsid w:val="2C36497E"/>
    <w:multiLevelType w:val="hybridMultilevel"/>
    <w:tmpl w:val="26CA667A"/>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725F65"/>
    <w:multiLevelType w:val="hybridMultilevel"/>
    <w:tmpl w:val="EBA25E36"/>
    <w:lvl w:ilvl="0" w:tplc="14AECDE0">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2768F8"/>
    <w:multiLevelType w:val="hybridMultilevel"/>
    <w:tmpl w:val="5DDEA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175CE6"/>
    <w:multiLevelType w:val="hybridMultilevel"/>
    <w:tmpl w:val="0318184A"/>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0F2B34"/>
    <w:multiLevelType w:val="hybridMultilevel"/>
    <w:tmpl w:val="3D289BCC"/>
    <w:lvl w:ilvl="0" w:tplc="A52AF03C">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830A6C"/>
    <w:multiLevelType w:val="hybridMultilevel"/>
    <w:tmpl w:val="49F80374"/>
    <w:lvl w:ilvl="0" w:tplc="E8F4A13E">
      <w:start w:val="1"/>
      <w:numFmt w:val="decimal"/>
      <w:lvlText w:val="%1."/>
      <w:lvlJc w:val="left"/>
      <w:pPr>
        <w:tabs>
          <w:tab w:val="num" w:pos="340"/>
        </w:tabs>
        <w:ind w:left="340" w:hanging="340"/>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73E22B7"/>
    <w:multiLevelType w:val="hybridMultilevel"/>
    <w:tmpl w:val="F69075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DC2867"/>
    <w:multiLevelType w:val="hybridMultilevel"/>
    <w:tmpl w:val="434E7FA2"/>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2954DB"/>
    <w:multiLevelType w:val="hybridMultilevel"/>
    <w:tmpl w:val="6BAE8480"/>
    <w:lvl w:ilvl="0" w:tplc="B47C9A9A">
      <w:start w:val="55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A2069"/>
    <w:multiLevelType w:val="hybridMultilevel"/>
    <w:tmpl w:val="17F2E0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983A8D"/>
    <w:multiLevelType w:val="hybridMultilevel"/>
    <w:tmpl w:val="D0F62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3768FD"/>
    <w:multiLevelType w:val="hybridMultilevel"/>
    <w:tmpl w:val="162CEA0C"/>
    <w:lvl w:ilvl="0" w:tplc="ADC03E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C46698"/>
    <w:multiLevelType w:val="hybridMultilevel"/>
    <w:tmpl w:val="890C1CD2"/>
    <w:lvl w:ilvl="0" w:tplc="281AF938">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28141A"/>
    <w:multiLevelType w:val="hybridMultilevel"/>
    <w:tmpl w:val="251AD5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ED1042"/>
    <w:multiLevelType w:val="hybridMultilevel"/>
    <w:tmpl w:val="A1104D6A"/>
    <w:lvl w:ilvl="0" w:tplc="A5843160">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CE7ED9"/>
    <w:multiLevelType w:val="hybridMultilevel"/>
    <w:tmpl w:val="227C4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A24ED8"/>
    <w:multiLevelType w:val="hybridMultilevel"/>
    <w:tmpl w:val="4A761C06"/>
    <w:lvl w:ilvl="0" w:tplc="A52AF03C">
      <w:start w:val="14"/>
      <w:numFmt w:val="bullet"/>
      <w:lvlText w:val="-"/>
      <w:lvlJc w:val="left"/>
      <w:pPr>
        <w:ind w:left="720" w:hanging="360"/>
      </w:pPr>
      <w:rPr>
        <w:rFonts w:ascii="Times New Roman" w:eastAsia="Times New Roman" w:hAnsi="Times New Roman" w:cs="Times New Roman" w:hint="default"/>
      </w:rPr>
    </w:lvl>
    <w:lvl w:ilvl="1" w:tplc="ADC03E20">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21"/>
  </w:num>
  <w:num w:numId="5">
    <w:abstractNumId w:val="2"/>
  </w:num>
  <w:num w:numId="6">
    <w:abstractNumId w:val="7"/>
  </w:num>
  <w:num w:numId="7">
    <w:abstractNumId w:val="22"/>
  </w:num>
  <w:num w:numId="8">
    <w:abstractNumId w:val="17"/>
  </w:num>
  <w:num w:numId="9">
    <w:abstractNumId w:val="0"/>
  </w:num>
  <w:num w:numId="10">
    <w:abstractNumId w:val="10"/>
  </w:num>
  <w:num w:numId="11">
    <w:abstractNumId w:val="16"/>
  </w:num>
  <w:num w:numId="12">
    <w:abstractNumId w:val="9"/>
  </w:num>
  <w:num w:numId="13">
    <w:abstractNumId w:val="19"/>
  </w:num>
  <w:num w:numId="14">
    <w:abstractNumId w:val="1"/>
  </w:num>
  <w:num w:numId="15">
    <w:abstractNumId w:val="23"/>
  </w:num>
  <w:num w:numId="16">
    <w:abstractNumId w:val="13"/>
  </w:num>
  <w:num w:numId="17">
    <w:abstractNumId w:val="12"/>
  </w:num>
  <w:num w:numId="18">
    <w:abstractNumId w:val="11"/>
  </w:num>
  <w:num w:numId="19">
    <w:abstractNumId w:val="26"/>
  </w:num>
  <w:num w:numId="20">
    <w:abstractNumId w:val="4"/>
  </w:num>
  <w:num w:numId="21">
    <w:abstractNumId w:val="3"/>
  </w:num>
  <w:num w:numId="22">
    <w:abstractNumId w:val="25"/>
  </w:num>
  <w:num w:numId="23">
    <w:abstractNumId w:val="24"/>
  </w:num>
  <w:num w:numId="24">
    <w:abstractNumId w:val="6"/>
  </w:num>
  <w:num w:numId="25">
    <w:abstractNumId w:val="5"/>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5C"/>
    <w:rsid w:val="000027A1"/>
    <w:rsid w:val="000105E5"/>
    <w:rsid w:val="00043DBC"/>
    <w:rsid w:val="00060A93"/>
    <w:rsid w:val="000712E4"/>
    <w:rsid w:val="00086C18"/>
    <w:rsid w:val="000B49D8"/>
    <w:rsid w:val="000C6A27"/>
    <w:rsid w:val="000D1B93"/>
    <w:rsid w:val="000E6ADC"/>
    <w:rsid w:val="000E6CF7"/>
    <w:rsid w:val="000F64DF"/>
    <w:rsid w:val="00100856"/>
    <w:rsid w:val="0010710F"/>
    <w:rsid w:val="00140E43"/>
    <w:rsid w:val="00155DD7"/>
    <w:rsid w:val="00182343"/>
    <w:rsid w:val="001C4E3E"/>
    <w:rsid w:val="0021657C"/>
    <w:rsid w:val="00250A1C"/>
    <w:rsid w:val="00260FAD"/>
    <w:rsid w:val="002728EB"/>
    <w:rsid w:val="00290925"/>
    <w:rsid w:val="002A0E22"/>
    <w:rsid w:val="002C2EEA"/>
    <w:rsid w:val="002C7A6D"/>
    <w:rsid w:val="002D3CF0"/>
    <w:rsid w:val="002F6DA3"/>
    <w:rsid w:val="003053A2"/>
    <w:rsid w:val="00324484"/>
    <w:rsid w:val="00330A7B"/>
    <w:rsid w:val="00383812"/>
    <w:rsid w:val="00384FE6"/>
    <w:rsid w:val="00392E31"/>
    <w:rsid w:val="003E7C91"/>
    <w:rsid w:val="00415A36"/>
    <w:rsid w:val="00421CDC"/>
    <w:rsid w:val="004760FA"/>
    <w:rsid w:val="004A115C"/>
    <w:rsid w:val="004D50E1"/>
    <w:rsid w:val="004E1F57"/>
    <w:rsid w:val="0053383D"/>
    <w:rsid w:val="0053525C"/>
    <w:rsid w:val="00543551"/>
    <w:rsid w:val="005603F6"/>
    <w:rsid w:val="006017F3"/>
    <w:rsid w:val="00682757"/>
    <w:rsid w:val="00690EA5"/>
    <w:rsid w:val="006945E2"/>
    <w:rsid w:val="00696FA2"/>
    <w:rsid w:val="006B4235"/>
    <w:rsid w:val="006C2357"/>
    <w:rsid w:val="006C542A"/>
    <w:rsid w:val="006E280C"/>
    <w:rsid w:val="006F74DD"/>
    <w:rsid w:val="00737EF4"/>
    <w:rsid w:val="007423AD"/>
    <w:rsid w:val="00771F56"/>
    <w:rsid w:val="007759E7"/>
    <w:rsid w:val="00782C64"/>
    <w:rsid w:val="008816BD"/>
    <w:rsid w:val="00896559"/>
    <w:rsid w:val="00897564"/>
    <w:rsid w:val="008B44F0"/>
    <w:rsid w:val="008C348F"/>
    <w:rsid w:val="009138A7"/>
    <w:rsid w:val="00925151"/>
    <w:rsid w:val="00930DFC"/>
    <w:rsid w:val="00932819"/>
    <w:rsid w:val="00935A28"/>
    <w:rsid w:val="00963CD7"/>
    <w:rsid w:val="009A61C1"/>
    <w:rsid w:val="009E0C3E"/>
    <w:rsid w:val="009F3D14"/>
    <w:rsid w:val="009F54E1"/>
    <w:rsid w:val="00A07DBC"/>
    <w:rsid w:val="00A27089"/>
    <w:rsid w:val="00A53E99"/>
    <w:rsid w:val="00A74B80"/>
    <w:rsid w:val="00B01A08"/>
    <w:rsid w:val="00B53F55"/>
    <w:rsid w:val="00B65EBA"/>
    <w:rsid w:val="00B847A8"/>
    <w:rsid w:val="00B97E0C"/>
    <w:rsid w:val="00BF082E"/>
    <w:rsid w:val="00C12524"/>
    <w:rsid w:val="00C37808"/>
    <w:rsid w:val="00C57A54"/>
    <w:rsid w:val="00C62C7F"/>
    <w:rsid w:val="00CB07E8"/>
    <w:rsid w:val="00CD0861"/>
    <w:rsid w:val="00CF4F73"/>
    <w:rsid w:val="00D15E4E"/>
    <w:rsid w:val="00D4607A"/>
    <w:rsid w:val="00D92517"/>
    <w:rsid w:val="00E047F9"/>
    <w:rsid w:val="00E24FF0"/>
    <w:rsid w:val="00E9046A"/>
    <w:rsid w:val="00E94F7E"/>
    <w:rsid w:val="00E966C9"/>
    <w:rsid w:val="00EB0B79"/>
    <w:rsid w:val="00EC42A2"/>
    <w:rsid w:val="00ED515D"/>
    <w:rsid w:val="00EE271F"/>
    <w:rsid w:val="00F022FA"/>
    <w:rsid w:val="00F113C8"/>
    <w:rsid w:val="00F872F2"/>
    <w:rsid w:val="00FB0F0D"/>
    <w:rsid w:val="00FB35C1"/>
    <w:rsid w:val="00FC0DF1"/>
    <w:rsid w:val="00FE51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E2CA"/>
  <w15:chartTrackingRefBased/>
  <w15:docId w15:val="{992A1999-F58B-45F8-98E2-83D2E62A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525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3525C"/>
    <w:pPr>
      <w:keepNext/>
      <w:ind w:left="60"/>
      <w:jc w:val="center"/>
      <w:outlineLvl w:val="0"/>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3525C"/>
    <w:rPr>
      <w:rFonts w:ascii="Times New Roman" w:eastAsia="Times New Roman" w:hAnsi="Times New Roman" w:cs="Times New Roman"/>
      <w:b/>
      <w:szCs w:val="20"/>
      <w:lang w:eastAsia="sl-SI"/>
    </w:rPr>
  </w:style>
  <w:style w:type="character" w:styleId="Hiperpovezava">
    <w:name w:val="Hyperlink"/>
    <w:rsid w:val="0053525C"/>
    <w:rPr>
      <w:color w:val="0000FF"/>
      <w:u w:val="single"/>
    </w:rPr>
  </w:style>
  <w:style w:type="paragraph" w:styleId="Telobesedila">
    <w:name w:val="Body Text"/>
    <w:basedOn w:val="Navaden"/>
    <w:link w:val="TelobesedilaZnak"/>
    <w:rsid w:val="0053525C"/>
    <w:pPr>
      <w:jc w:val="both"/>
    </w:pPr>
    <w:rPr>
      <w:b/>
      <w:bCs/>
    </w:rPr>
  </w:style>
  <w:style w:type="character" w:customStyle="1" w:styleId="TelobesedilaZnak">
    <w:name w:val="Telo besedila Znak"/>
    <w:basedOn w:val="Privzetapisavaodstavka"/>
    <w:link w:val="Telobesedila"/>
    <w:rsid w:val="0053525C"/>
    <w:rPr>
      <w:rFonts w:ascii="Times New Roman" w:eastAsia="Times New Roman" w:hAnsi="Times New Roman" w:cs="Times New Roman"/>
      <w:b/>
      <w:bCs/>
      <w:sz w:val="24"/>
      <w:szCs w:val="24"/>
      <w:lang w:eastAsia="sl-SI"/>
    </w:rPr>
  </w:style>
  <w:style w:type="paragraph" w:styleId="Telobesedila2">
    <w:name w:val="Body Text 2"/>
    <w:basedOn w:val="Navaden"/>
    <w:link w:val="Telobesedila2Znak"/>
    <w:rsid w:val="0053525C"/>
    <w:pPr>
      <w:jc w:val="both"/>
    </w:pPr>
  </w:style>
  <w:style w:type="character" w:customStyle="1" w:styleId="Telobesedila2Znak">
    <w:name w:val="Telo besedila 2 Znak"/>
    <w:basedOn w:val="Privzetapisavaodstavka"/>
    <w:link w:val="Telobesedila2"/>
    <w:rsid w:val="0053525C"/>
    <w:rPr>
      <w:rFonts w:ascii="Times New Roman" w:eastAsia="Times New Roman" w:hAnsi="Times New Roman" w:cs="Times New Roman"/>
      <w:sz w:val="24"/>
      <w:szCs w:val="24"/>
      <w:lang w:eastAsia="sl-SI"/>
    </w:rPr>
  </w:style>
  <w:style w:type="paragraph" w:styleId="Naslov">
    <w:name w:val="Title"/>
    <w:basedOn w:val="Navaden"/>
    <w:next w:val="Podnaslov"/>
    <w:link w:val="NaslovZnak"/>
    <w:qFormat/>
    <w:rsid w:val="0053525C"/>
    <w:pPr>
      <w:suppressAutoHyphens/>
      <w:jc w:val="center"/>
    </w:pPr>
    <w:rPr>
      <w:b/>
      <w:sz w:val="28"/>
      <w:szCs w:val="20"/>
      <w:lang w:val="x-none" w:eastAsia="x-none"/>
    </w:rPr>
  </w:style>
  <w:style w:type="character" w:customStyle="1" w:styleId="NaslovZnak">
    <w:name w:val="Naslov Znak"/>
    <w:basedOn w:val="Privzetapisavaodstavka"/>
    <w:link w:val="Naslov"/>
    <w:rsid w:val="0053525C"/>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qFormat/>
    <w:rsid w:val="0053525C"/>
    <w:pPr>
      <w:spacing w:after="60"/>
      <w:jc w:val="center"/>
      <w:outlineLvl w:val="1"/>
    </w:pPr>
    <w:rPr>
      <w:rFonts w:ascii="Cambria" w:hAnsi="Cambria"/>
      <w:lang w:eastAsia="en-US"/>
    </w:rPr>
  </w:style>
  <w:style w:type="character" w:customStyle="1" w:styleId="PodnaslovZnak">
    <w:name w:val="Podnaslov Znak"/>
    <w:basedOn w:val="Privzetapisavaodstavka"/>
    <w:link w:val="Podnaslov"/>
    <w:rsid w:val="0053525C"/>
    <w:rPr>
      <w:rFonts w:ascii="Cambria" w:eastAsia="Times New Roman" w:hAnsi="Cambria" w:cs="Times New Roman"/>
      <w:sz w:val="24"/>
      <w:szCs w:val="24"/>
    </w:rPr>
  </w:style>
  <w:style w:type="paragraph" w:customStyle="1" w:styleId="Natevanje">
    <w:name w:val="Naštevanje"/>
    <w:basedOn w:val="Navaden"/>
    <w:rsid w:val="0053525C"/>
    <w:pPr>
      <w:ind w:left="1440" w:hanging="360"/>
    </w:pPr>
    <w:rPr>
      <w:b/>
      <w:bCs/>
      <w:sz w:val="22"/>
      <w:szCs w:val="22"/>
    </w:rPr>
  </w:style>
  <w:style w:type="paragraph" w:styleId="Odstavekseznama">
    <w:name w:val="List Paragraph"/>
    <w:basedOn w:val="Navaden"/>
    <w:uiPriority w:val="34"/>
    <w:qFormat/>
    <w:rsid w:val="00A07DBC"/>
    <w:pPr>
      <w:ind w:left="720"/>
      <w:contextualSpacing/>
    </w:pPr>
  </w:style>
  <w:style w:type="table" w:styleId="Tabelamrea">
    <w:name w:val="Table Grid"/>
    <w:basedOn w:val="Navadnatabela"/>
    <w:uiPriority w:val="39"/>
    <w:rsid w:val="00F8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F64D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64DF"/>
    <w:rPr>
      <w:rFonts w:ascii="Segoe UI" w:eastAsia="Times New Roman" w:hAnsi="Segoe UI" w:cs="Segoe UI"/>
      <w:sz w:val="18"/>
      <w:szCs w:val="18"/>
      <w:lang w:eastAsia="sl-SI"/>
    </w:rPr>
  </w:style>
  <w:style w:type="paragraph" w:styleId="Brezrazmikov">
    <w:name w:val="No Spacing"/>
    <w:uiPriority w:val="1"/>
    <w:qFormat/>
    <w:rsid w:val="00932819"/>
    <w:pPr>
      <w:spacing w:after="0" w:line="240" w:lineRule="auto"/>
    </w:pPr>
    <w:rPr>
      <w:rFonts w:ascii="Calibri" w:eastAsia="Calibri" w:hAnsi="Calibri" w:cs="Times New Roman"/>
    </w:rPr>
  </w:style>
  <w:style w:type="character" w:customStyle="1" w:styleId="A0">
    <w:name w:val="A0"/>
    <w:uiPriority w:val="99"/>
    <w:rsid w:val="00086C18"/>
    <w:rPr>
      <w:rFonts w:cs="Alliance No.1 SemiBold"/>
      <w:b/>
      <w:bCs/>
      <w:color w:val="000000"/>
      <w:sz w:val="22"/>
      <w:szCs w:val="22"/>
    </w:rPr>
  </w:style>
  <w:style w:type="paragraph" w:customStyle="1" w:styleId="Pa0">
    <w:name w:val="Pa0"/>
    <w:basedOn w:val="Navaden"/>
    <w:next w:val="Navaden"/>
    <w:uiPriority w:val="99"/>
    <w:rsid w:val="00696FA2"/>
    <w:pPr>
      <w:autoSpaceDE w:val="0"/>
      <w:autoSpaceDN w:val="0"/>
      <w:adjustRightInd w:val="0"/>
      <w:spacing w:line="241" w:lineRule="atLeast"/>
    </w:pPr>
    <w:rPr>
      <w:rFonts w:ascii="Alliance No.1" w:eastAsiaTheme="minorHAnsi" w:hAnsi="Alliance No.1" w:cstheme="minorBidi"/>
      <w:lang w:eastAsia="en-US"/>
    </w:rPr>
  </w:style>
  <w:style w:type="character" w:customStyle="1" w:styleId="A9">
    <w:name w:val="A9"/>
    <w:uiPriority w:val="99"/>
    <w:rsid w:val="00696FA2"/>
    <w:rPr>
      <w:rFonts w:cs="Alliance No.1"/>
      <w:color w:val="000000"/>
      <w:sz w:val="22"/>
      <w:szCs w:val="22"/>
      <w:u w:val="single"/>
    </w:rPr>
  </w:style>
  <w:style w:type="character" w:customStyle="1" w:styleId="tlid-translation">
    <w:name w:val="tlid-translation"/>
    <w:basedOn w:val="Privzetapisavaodstavka"/>
    <w:rsid w:val="000E6CF7"/>
  </w:style>
  <w:style w:type="paragraph" w:customStyle="1" w:styleId="NormalWeb1">
    <w:name w:val="Normal (Web)1"/>
    <w:basedOn w:val="Navaden"/>
    <w:rsid w:val="000E6CF7"/>
    <w:pPr>
      <w:suppressAutoHyphens/>
      <w:spacing w:before="100" w:after="100" w:line="100" w:lineRule="atLeast"/>
    </w:pPr>
    <w:rPr>
      <w:lang w:eastAsia="ar-SA"/>
    </w:rPr>
  </w:style>
  <w:style w:type="paragraph" w:styleId="Glava">
    <w:name w:val="header"/>
    <w:basedOn w:val="Navaden"/>
    <w:link w:val="GlavaZnak"/>
    <w:uiPriority w:val="99"/>
    <w:unhideWhenUsed/>
    <w:rsid w:val="000E6CF7"/>
    <w:pPr>
      <w:tabs>
        <w:tab w:val="center" w:pos="4536"/>
        <w:tab w:val="right" w:pos="9072"/>
      </w:tabs>
    </w:pPr>
  </w:style>
  <w:style w:type="character" w:customStyle="1" w:styleId="GlavaZnak">
    <w:name w:val="Glava Znak"/>
    <w:basedOn w:val="Privzetapisavaodstavka"/>
    <w:link w:val="Glava"/>
    <w:uiPriority w:val="99"/>
    <w:rsid w:val="000E6CF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E6CF7"/>
    <w:pPr>
      <w:tabs>
        <w:tab w:val="center" w:pos="4536"/>
        <w:tab w:val="right" w:pos="9072"/>
      </w:tabs>
    </w:pPr>
  </w:style>
  <w:style w:type="character" w:customStyle="1" w:styleId="NogaZnak">
    <w:name w:val="Noga Znak"/>
    <w:basedOn w:val="Privzetapisavaodstavka"/>
    <w:link w:val="Noga"/>
    <w:uiPriority w:val="99"/>
    <w:rsid w:val="000E6CF7"/>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zol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izola@izol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74794E-7151-41E5-B0FF-C50F74DE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3119</Words>
  <Characters>17783</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dc:description/>
  <cp:lastModifiedBy>Milka Bauer</cp:lastModifiedBy>
  <cp:revision>11</cp:revision>
  <cp:lastPrinted>2020-11-02T14:15:00Z</cp:lastPrinted>
  <dcterms:created xsi:type="dcterms:W3CDTF">2020-11-02T12:31:00Z</dcterms:created>
  <dcterms:modified xsi:type="dcterms:W3CDTF">2020-11-02T14:36:00Z</dcterms:modified>
</cp:coreProperties>
</file>