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A63B81" w:rsidRPr="00771188" w:rsidTr="00A63B81">
        <w:tc>
          <w:tcPr>
            <w:tcW w:w="1056" w:type="dxa"/>
          </w:tcPr>
          <w:p w:rsidR="00A63B81" w:rsidRPr="00771188" w:rsidRDefault="00A63B81" w:rsidP="0065193B">
            <w:pPr>
              <w:tabs>
                <w:tab w:val="left" w:pos="24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ermStart w:id="779319231" w:edGrp="everyone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F3AFB05" wp14:editId="44BCDA90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ermEnd w:id="77931923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16" w:type="dxa"/>
          </w:tcPr>
          <w:p w:rsidR="00A63B81" w:rsidRPr="00771188" w:rsidRDefault="00A63B81" w:rsidP="0065193B">
            <w:pPr>
              <w:tabs>
                <w:tab w:val="left" w:pos="24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OBČINA IZOLA – COMUNE DI ISOLA</w:t>
            </w:r>
          </w:p>
          <w:p w:rsidR="00A63B81" w:rsidRPr="00771188" w:rsidRDefault="00A63B81" w:rsidP="0065193B">
            <w:pPr>
              <w:tabs>
                <w:tab w:val="left" w:pos="246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eastAsia="sl-SI"/>
              </w:rPr>
              <w:t>župan</w:t>
            </w:r>
            <w:r w:rsidRPr="0077118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l-SI"/>
              </w:rPr>
              <w:t xml:space="preserve"> – IL SINDACO</w:t>
            </w:r>
            <w:r w:rsidRPr="007711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 </w:t>
            </w:r>
          </w:p>
          <w:p w:rsidR="00A63B81" w:rsidRPr="00771188" w:rsidRDefault="00A63B81" w:rsidP="0065193B">
            <w:pPr>
              <w:tabs>
                <w:tab w:val="left" w:pos="246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A63B81" w:rsidRPr="00771188" w:rsidRDefault="00A63B81" w:rsidP="0065193B">
            <w:pPr>
              <w:tabs>
                <w:tab w:val="left" w:pos="246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A63B81" w:rsidRPr="00771188" w:rsidRDefault="00A63B81" w:rsidP="0065193B">
            <w:pPr>
              <w:tabs>
                <w:tab w:val="left" w:pos="246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Tel: 05 66 00 100, </w:t>
            </w:r>
            <w:proofErr w:type="spellStart"/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Fax</w:t>
            </w:r>
            <w:proofErr w:type="spellEnd"/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: 05 66 00 110</w:t>
            </w:r>
          </w:p>
          <w:p w:rsidR="00A63B81" w:rsidRPr="00771188" w:rsidRDefault="00A63B81" w:rsidP="0065193B">
            <w:pPr>
              <w:tabs>
                <w:tab w:val="left" w:pos="246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7" w:history="1">
              <w:r w:rsidRPr="00771188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A63B81" w:rsidRPr="00771188" w:rsidRDefault="00A63B81" w:rsidP="0065193B">
            <w:pPr>
              <w:tabs>
                <w:tab w:val="left" w:pos="24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8" w:history="1">
              <w:r w:rsidRPr="00771188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A63B81" w:rsidRPr="00A63B81" w:rsidRDefault="00A63B81" w:rsidP="00A6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3B81" w:rsidRPr="00A63B81" w:rsidRDefault="00A63B81" w:rsidP="00A6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3B8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354-185/2018</w:t>
      </w:r>
    </w:p>
    <w:p w:rsidR="00A63B81" w:rsidRPr="00A63B81" w:rsidRDefault="00A63B81" w:rsidP="00A6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3B8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862C46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Pr="00A63B8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Pr="00A63B81">
        <w:rPr>
          <w:rFonts w:ascii="Times New Roman" w:eastAsia="Times New Roman" w:hAnsi="Times New Roman" w:cs="Times New Roman"/>
          <w:sz w:val="24"/>
          <w:szCs w:val="24"/>
          <w:lang w:eastAsia="sl-SI"/>
        </w:rPr>
        <w:t>. 2020</w:t>
      </w:r>
    </w:p>
    <w:p w:rsidR="00A63B81" w:rsidRPr="00A63B81" w:rsidRDefault="00A63B81" w:rsidP="00A6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3B81" w:rsidRPr="00A63B81" w:rsidRDefault="00A63B81" w:rsidP="00A6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3B81" w:rsidRPr="00A63B81" w:rsidRDefault="00A63B81" w:rsidP="00A6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3B81" w:rsidRPr="00A63B81" w:rsidRDefault="00A63B81" w:rsidP="00A63B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3B8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ČLANOM OBČINSKEGA SVETA</w:t>
      </w:r>
    </w:p>
    <w:p w:rsidR="00A63B81" w:rsidRPr="00A63B81" w:rsidRDefault="00A63B81" w:rsidP="00A63B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3B8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OBČINE IZOLA</w:t>
      </w:r>
    </w:p>
    <w:p w:rsidR="00A63B81" w:rsidRPr="00A63B81" w:rsidRDefault="00A63B81" w:rsidP="00A6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3B81" w:rsidRPr="00A63B81" w:rsidRDefault="00A63B81" w:rsidP="00A6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3B81" w:rsidRPr="00A63B81" w:rsidRDefault="00A63B81" w:rsidP="00A6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A63B81" w:rsidRPr="00A63B81" w:rsidTr="0065193B">
        <w:tc>
          <w:tcPr>
            <w:tcW w:w="2689" w:type="dxa"/>
          </w:tcPr>
          <w:p w:rsidR="00A63B81" w:rsidRPr="00A63B81" w:rsidRDefault="00A63B81" w:rsidP="00A6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81">
              <w:rPr>
                <w:rFonts w:ascii="Times New Roman" w:hAnsi="Times New Roman" w:cs="Times New Roman"/>
                <w:b/>
                <w:sz w:val="24"/>
                <w:szCs w:val="24"/>
              </w:rPr>
              <w:t>ZADEVA:</w:t>
            </w:r>
          </w:p>
        </w:tc>
        <w:tc>
          <w:tcPr>
            <w:tcW w:w="6373" w:type="dxa"/>
          </w:tcPr>
          <w:p w:rsidR="00A63B81" w:rsidRPr="00A63B81" w:rsidRDefault="00D94677" w:rsidP="00532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Elaborat cen storitev obvezne občinske gospodarske javne službe pokopališke dejavnosti s predlaganim cenikom za pokopališke storitve</w:t>
            </w:r>
          </w:p>
        </w:tc>
      </w:tr>
      <w:tr w:rsidR="00A63B81" w:rsidRPr="00A63B81" w:rsidTr="0065193B">
        <w:trPr>
          <w:trHeight w:val="311"/>
        </w:trPr>
        <w:tc>
          <w:tcPr>
            <w:tcW w:w="2689" w:type="dxa"/>
          </w:tcPr>
          <w:p w:rsidR="00A63B81" w:rsidRPr="00A63B81" w:rsidRDefault="00A63B81" w:rsidP="00A6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A63B81" w:rsidRPr="00A63B81" w:rsidRDefault="00A63B81" w:rsidP="00A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81" w:rsidRPr="00A63B81" w:rsidTr="0065193B">
        <w:tc>
          <w:tcPr>
            <w:tcW w:w="2689" w:type="dxa"/>
          </w:tcPr>
          <w:p w:rsidR="00A63B81" w:rsidRPr="00A63B81" w:rsidRDefault="00A63B81" w:rsidP="00A6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81">
              <w:rPr>
                <w:rFonts w:ascii="Times New Roman" w:hAnsi="Times New Roman" w:cs="Times New Roman"/>
                <w:b/>
                <w:sz w:val="24"/>
                <w:szCs w:val="24"/>
              </w:rPr>
              <w:t>PRAVNA PODLAGA:</w:t>
            </w:r>
          </w:p>
        </w:tc>
        <w:tc>
          <w:tcPr>
            <w:tcW w:w="6373" w:type="dxa"/>
          </w:tcPr>
          <w:p w:rsidR="00A63B81" w:rsidRPr="00A63B81" w:rsidRDefault="00532C70" w:rsidP="00532C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Zakon o pogrebni in pokopališki dejavnosti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532C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dlok </w:t>
            </w:r>
            <w:r w:rsidRPr="00532C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 pogrebni in pokopališki dejavnosti na območju Občine Izola</w:t>
            </w:r>
          </w:p>
        </w:tc>
      </w:tr>
      <w:tr w:rsidR="00A63B81" w:rsidRPr="00A63B81" w:rsidTr="0065193B">
        <w:tc>
          <w:tcPr>
            <w:tcW w:w="2689" w:type="dxa"/>
          </w:tcPr>
          <w:p w:rsidR="00A63B81" w:rsidRPr="00A63B81" w:rsidRDefault="00A63B81" w:rsidP="00A6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A63B81" w:rsidRPr="00A63B81" w:rsidRDefault="00A63B81" w:rsidP="00A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81" w:rsidRPr="00A63B81" w:rsidTr="0065193B">
        <w:trPr>
          <w:trHeight w:val="168"/>
        </w:trPr>
        <w:tc>
          <w:tcPr>
            <w:tcW w:w="2689" w:type="dxa"/>
          </w:tcPr>
          <w:p w:rsidR="00A63B81" w:rsidRPr="00A63B81" w:rsidRDefault="00A63B81" w:rsidP="00A6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81">
              <w:rPr>
                <w:rFonts w:ascii="Times New Roman" w:hAnsi="Times New Roman" w:cs="Times New Roman"/>
                <w:b/>
                <w:sz w:val="24"/>
                <w:szCs w:val="24"/>
              </w:rPr>
              <w:t>PRIPRAVLJALEC GRADIVA:</w:t>
            </w:r>
          </w:p>
        </w:tc>
        <w:tc>
          <w:tcPr>
            <w:tcW w:w="6373" w:type="dxa"/>
          </w:tcPr>
          <w:p w:rsidR="00A63B81" w:rsidRPr="00A63B81" w:rsidRDefault="00D94677" w:rsidP="00D9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JP Komunala Izola d.o.o.</w:t>
            </w:r>
          </w:p>
        </w:tc>
      </w:tr>
      <w:tr w:rsidR="00A63B81" w:rsidRPr="00A63B81" w:rsidTr="00A63B81">
        <w:trPr>
          <w:trHeight w:val="74"/>
        </w:trPr>
        <w:tc>
          <w:tcPr>
            <w:tcW w:w="2689" w:type="dxa"/>
          </w:tcPr>
          <w:p w:rsidR="00A63B81" w:rsidRPr="00A63B81" w:rsidRDefault="00A63B81" w:rsidP="00A6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A63B81" w:rsidRPr="00A63B81" w:rsidRDefault="00A63B81" w:rsidP="00A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81" w:rsidRPr="00A63B81" w:rsidTr="0065193B">
        <w:tc>
          <w:tcPr>
            <w:tcW w:w="2689" w:type="dxa"/>
          </w:tcPr>
          <w:p w:rsidR="00A63B81" w:rsidRPr="00A63B81" w:rsidRDefault="00A63B81" w:rsidP="00A6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81">
              <w:rPr>
                <w:rFonts w:ascii="Times New Roman" w:hAnsi="Times New Roman" w:cs="Times New Roman"/>
                <w:b/>
                <w:sz w:val="24"/>
                <w:szCs w:val="24"/>
              </w:rPr>
              <w:t>POROČEVALEC:</w:t>
            </w:r>
          </w:p>
        </w:tc>
        <w:tc>
          <w:tcPr>
            <w:tcW w:w="6373" w:type="dxa"/>
          </w:tcPr>
          <w:p w:rsidR="00A63B81" w:rsidRPr="00A63B81" w:rsidRDefault="00A63B81" w:rsidP="00A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Denis Bele, direktor JP Komunala Izola d. o. o.</w:t>
            </w:r>
          </w:p>
        </w:tc>
      </w:tr>
    </w:tbl>
    <w:p w:rsidR="00A63B81" w:rsidRPr="00A63B81" w:rsidRDefault="00A63B81" w:rsidP="00A6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3B81" w:rsidRPr="00A63B81" w:rsidRDefault="00A63B81" w:rsidP="00A6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3B81" w:rsidRPr="00A63B81" w:rsidRDefault="00A63B81" w:rsidP="00A6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3B81" w:rsidRPr="00A63B81" w:rsidRDefault="00A63B81" w:rsidP="00A6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3B81" w:rsidRPr="00A63B81" w:rsidRDefault="00A63B81" w:rsidP="00A6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3B81" w:rsidRPr="00A63B81" w:rsidRDefault="00A63B81" w:rsidP="00A6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3B81" w:rsidRPr="00A63B81" w:rsidRDefault="00A63B81" w:rsidP="00A6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3B81" w:rsidRPr="00A63B81" w:rsidRDefault="00A63B81" w:rsidP="00A6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3B81" w:rsidRPr="00A63B81" w:rsidRDefault="00A63B81" w:rsidP="00A6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3B81" w:rsidRPr="00A63B81" w:rsidRDefault="00A63B81" w:rsidP="00A6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3B81" w:rsidRPr="00A63B81" w:rsidRDefault="00A63B81" w:rsidP="00A6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3B81" w:rsidRPr="00A63B81" w:rsidRDefault="00A63B81" w:rsidP="00A6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3B81" w:rsidRPr="00A63B81" w:rsidRDefault="00A63B81" w:rsidP="00A6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3B81">
        <w:rPr>
          <w:rFonts w:ascii="Times New Roman" w:eastAsia="Times New Roman" w:hAnsi="Times New Roman" w:cs="Times New Roman"/>
          <w:sz w:val="24"/>
          <w:szCs w:val="24"/>
          <w:lang w:eastAsia="sl-SI"/>
        </w:rPr>
        <w:t>Priloge:</w:t>
      </w:r>
    </w:p>
    <w:p w:rsidR="00A63B81" w:rsidRPr="008D7C59" w:rsidRDefault="008D7C59" w:rsidP="008D7C59">
      <w:pPr>
        <w:pStyle w:val="Odstavekseznama"/>
        <w:numPr>
          <w:ilvl w:val="0"/>
          <w:numId w:val="7"/>
        </w:numPr>
        <w:tabs>
          <w:tab w:val="left" w:pos="246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o</w:t>
      </w:r>
      <w:r w:rsidRPr="008D7C59">
        <w:rPr>
          <w:rFonts w:ascii="Times New Roman" w:eastAsia="Times New Roman" w:hAnsi="Times New Roman" w:cs="Times New Roman"/>
          <w:sz w:val="24"/>
          <w:szCs w:val="20"/>
          <w:lang w:eastAsia="sl-SI"/>
        </w:rPr>
        <w:t>brazložitev (priloga I)</w:t>
      </w:r>
      <w:r w:rsidR="00862C46">
        <w:rPr>
          <w:rFonts w:ascii="Times New Roman" w:eastAsia="Times New Roman" w:hAnsi="Times New Roman" w:cs="Times New Roman"/>
          <w:sz w:val="24"/>
          <w:szCs w:val="20"/>
          <w:lang w:eastAsia="sl-SI"/>
        </w:rPr>
        <w:t>,</w:t>
      </w:r>
    </w:p>
    <w:p w:rsidR="00A63B81" w:rsidRPr="00862C46" w:rsidRDefault="00862C46" w:rsidP="00862C46">
      <w:pPr>
        <w:pStyle w:val="Odstavekseznama"/>
        <w:numPr>
          <w:ilvl w:val="0"/>
          <w:numId w:val="7"/>
        </w:numPr>
        <w:tabs>
          <w:tab w:val="left" w:pos="246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62C46">
        <w:rPr>
          <w:rFonts w:ascii="Times New Roman" w:eastAsia="Times New Roman" w:hAnsi="Times New Roman" w:cs="Times New Roman"/>
          <w:sz w:val="24"/>
          <w:szCs w:val="20"/>
          <w:lang w:eastAsia="sl-SI"/>
        </w:rPr>
        <w:t>predlog sklepa (priloga II).</w:t>
      </w:r>
    </w:p>
    <w:p w:rsidR="00A63B81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A63B81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A63B81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A63B81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A63B81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br w:type="page"/>
      </w:r>
    </w:p>
    <w:p w:rsidR="00A63B81" w:rsidRPr="00A63B81" w:rsidRDefault="00A63B81" w:rsidP="00A63B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permStart w:id="680732498" w:edGrp="everyone"/>
      <w:r w:rsidRPr="00A63B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Priloga I</w:t>
      </w:r>
    </w:p>
    <w:permEnd w:id="680732498"/>
    <w:p w:rsidR="00A63B81" w:rsidRDefault="00A63B81" w:rsidP="00A63B81">
      <w:pPr>
        <w:tabs>
          <w:tab w:val="left" w:pos="24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B81" w:rsidRDefault="00A63B81" w:rsidP="00A63B81">
      <w:pPr>
        <w:tabs>
          <w:tab w:val="left" w:pos="24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Obrazložitev</w:t>
      </w:r>
    </w:p>
    <w:p w:rsidR="00A63B81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Odlok o pokopališki in pogrebni dejavnosti v občini Izola (v nadaljevanju: odlok) je občinski svet sprejel dne 26. 10. 2017. V 47. členu je določeno, da za storitve pogrebne in pokopališke dejavnosti plačajo uporabniki storitev oziroma najemniki in izvajalci drugih storitev cene v skladu s cenikom izvajalca. Občinski svet Občine Izola sprejme sklep o višini cen storitev gospodarske javne službe in pristojbin na predlog izvajalca. Ta sklep se objavi v Uradnih objavah Občine Izola.</w:t>
      </w:r>
    </w:p>
    <w:p w:rsidR="00A63B81" w:rsidRPr="0079494D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B81" w:rsidRPr="00862C46" w:rsidRDefault="00A63B81" w:rsidP="0037595F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C46">
        <w:rPr>
          <w:rFonts w:ascii="Times New Roman" w:hAnsi="Times New Roman" w:cs="Times New Roman"/>
          <w:color w:val="000000" w:themeColor="text1"/>
          <w:sz w:val="24"/>
          <w:szCs w:val="24"/>
        </w:rPr>
        <w:t>Sedaj veljavni cenik je bil potrjen na občinskem svetu v letu 2016</w:t>
      </w:r>
      <w:r w:rsidR="00D94677" w:rsidRPr="00862C46">
        <w:rPr>
          <w:rFonts w:ascii="Times New Roman" w:hAnsi="Times New Roman" w:cs="Times New Roman"/>
          <w:color w:val="000000" w:themeColor="text1"/>
          <w:sz w:val="24"/>
          <w:szCs w:val="24"/>
        </w:rPr>
        <w:t>, zaradi sprememb zakonodaje pa v letu</w:t>
      </w:r>
      <w:r w:rsidR="00862C46" w:rsidRPr="00862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 w:rsidR="00D94677" w:rsidRPr="00862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še </w:t>
      </w:r>
      <w:r w:rsidR="00D94677" w:rsidRPr="00862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cenik 24 urne </w:t>
      </w:r>
      <w:r w:rsidR="00375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dežurne službe, ki je bila takrat določena kot </w:t>
      </w:r>
      <w:r w:rsidR="0037595F" w:rsidRPr="0037595F">
        <w:rPr>
          <w:rFonts w:ascii="Times New Roman" w:hAnsi="Times New Roman" w:cs="Times New Roman"/>
          <w:color w:val="000000" w:themeColor="text1"/>
          <w:sz w:val="24"/>
          <w:szCs w:val="24"/>
        </w:rPr>
        <w:t>obvezna občinska gospodarska javna služba.</w:t>
      </w:r>
    </w:p>
    <w:p w:rsidR="00A63B81" w:rsidRPr="00B50794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63B81" w:rsidRPr="0079494D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94D">
        <w:rPr>
          <w:rFonts w:ascii="Times New Roman" w:hAnsi="Times New Roman" w:cs="Times New Roman"/>
          <w:color w:val="000000" w:themeColor="text1"/>
          <w:sz w:val="24"/>
          <w:szCs w:val="24"/>
        </w:rPr>
        <w:t>V cenik ni vključena tržna dejavnost izvajalca, saj jo ta oblikuje samostojno.</w:t>
      </w:r>
    </w:p>
    <w:p w:rsidR="00A63B81" w:rsidRPr="00A270D1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B81" w:rsidRPr="005D5984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Zaključek</w:t>
      </w:r>
    </w:p>
    <w:p w:rsidR="00A63B81" w:rsidRPr="00B8224B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osnovi podane obrazložitve in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>izdelanega Elaborata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862C46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="00447F8B">
        <w:rPr>
          <w:rFonts w:ascii="Times New Roman" w:hAnsi="Times New Roman" w:cs="Times New Roman"/>
          <w:color w:val="000000"/>
          <w:sz w:val="24"/>
          <w:szCs w:val="24"/>
        </w:rPr>
        <w:t>ah</w:t>
      </w:r>
      <w:r w:rsidR="00862C46">
        <w:rPr>
          <w:rFonts w:ascii="Times New Roman" w:hAnsi="Times New Roman" w:cs="Times New Roman"/>
          <w:color w:val="000000"/>
          <w:sz w:val="24"/>
          <w:szCs w:val="24"/>
        </w:rPr>
        <w:t xml:space="preserve"> storitev obvezne občinske gospodarske javne službe pokopališke dejavnosti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iz </w:t>
      </w:r>
      <w:r w:rsidR="00862C46">
        <w:rPr>
          <w:rFonts w:ascii="Times New Roman" w:hAnsi="Times New Roman" w:cs="Times New Roman"/>
          <w:color w:val="000000"/>
          <w:sz w:val="24"/>
          <w:szCs w:val="24"/>
        </w:rPr>
        <w:t>septembra 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>ki ga je izdelala Komunala Izola 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 xml:space="preserve">o.- </w:t>
      </w:r>
      <w:proofErr w:type="spellStart"/>
      <w:r w:rsidRPr="00B8224B">
        <w:rPr>
          <w:rFonts w:ascii="Times New Roman" w:hAnsi="Times New Roman" w:cs="Times New Roman"/>
          <w:color w:val="000000"/>
          <w:sz w:val="24"/>
          <w:szCs w:val="24"/>
        </w:rPr>
        <w:t>Azienda</w:t>
      </w:r>
      <w:proofErr w:type="spellEnd"/>
      <w:r w:rsidRPr="00B82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24B">
        <w:rPr>
          <w:rFonts w:ascii="Times New Roman" w:hAnsi="Times New Roman" w:cs="Times New Roman"/>
          <w:color w:val="000000"/>
          <w:sz w:val="24"/>
          <w:szCs w:val="24"/>
        </w:rPr>
        <w:t>pubblica</w:t>
      </w:r>
      <w:proofErr w:type="spellEnd"/>
      <w:r w:rsidRPr="00B8224B">
        <w:rPr>
          <w:rFonts w:ascii="Times New Roman" w:hAnsi="Times New Roman" w:cs="Times New Roman"/>
          <w:color w:val="000000"/>
          <w:sz w:val="24"/>
          <w:szCs w:val="24"/>
        </w:rPr>
        <w:t xml:space="preserve"> Komunala </w:t>
      </w:r>
      <w:proofErr w:type="spellStart"/>
      <w:r w:rsidRPr="00B8224B">
        <w:rPr>
          <w:rFonts w:ascii="Times New Roman" w:hAnsi="Times New Roman" w:cs="Times New Roman"/>
          <w:color w:val="000000"/>
          <w:sz w:val="24"/>
          <w:szCs w:val="24"/>
        </w:rPr>
        <w:t>Isola</w:t>
      </w:r>
      <w:proofErr w:type="spellEnd"/>
      <w:r w:rsidRPr="00B8224B">
        <w:rPr>
          <w:rFonts w:ascii="Times New Roman" w:hAnsi="Times New Roman" w:cs="Times New Roman"/>
          <w:color w:val="000000"/>
          <w:sz w:val="24"/>
          <w:szCs w:val="24"/>
        </w:rPr>
        <w:t>, 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 xml:space="preserve"> in sklepa Nadzornega sveta javnega podjetja Komunala Izola 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 xml:space="preserve">o. – </w:t>
      </w:r>
      <w:proofErr w:type="spellStart"/>
      <w:r w:rsidRPr="00B8224B">
        <w:rPr>
          <w:rFonts w:ascii="Times New Roman" w:hAnsi="Times New Roman" w:cs="Times New Roman"/>
          <w:color w:val="000000"/>
          <w:sz w:val="24"/>
          <w:szCs w:val="24"/>
        </w:rPr>
        <w:t>Azienda</w:t>
      </w:r>
      <w:proofErr w:type="spellEnd"/>
      <w:r w:rsidRPr="00B82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24B">
        <w:rPr>
          <w:rFonts w:ascii="Times New Roman" w:hAnsi="Times New Roman" w:cs="Times New Roman"/>
          <w:color w:val="000000"/>
          <w:sz w:val="24"/>
          <w:szCs w:val="24"/>
        </w:rPr>
        <w:t>pubblica</w:t>
      </w:r>
      <w:proofErr w:type="spellEnd"/>
      <w:r w:rsidRPr="00B8224B">
        <w:rPr>
          <w:rFonts w:ascii="Times New Roman" w:hAnsi="Times New Roman" w:cs="Times New Roman"/>
          <w:color w:val="000000"/>
          <w:sz w:val="24"/>
          <w:szCs w:val="24"/>
        </w:rPr>
        <w:t xml:space="preserve"> Komunala </w:t>
      </w:r>
      <w:proofErr w:type="spellStart"/>
      <w:r w:rsidRPr="00B8224B">
        <w:rPr>
          <w:rFonts w:ascii="Times New Roman" w:hAnsi="Times New Roman" w:cs="Times New Roman"/>
          <w:color w:val="000000"/>
          <w:sz w:val="24"/>
          <w:szCs w:val="24"/>
        </w:rPr>
        <w:t>Isola</w:t>
      </w:r>
      <w:proofErr w:type="spellEnd"/>
      <w:r w:rsidRPr="00B8224B">
        <w:rPr>
          <w:rFonts w:ascii="Times New Roman" w:hAnsi="Times New Roman" w:cs="Times New Roman"/>
          <w:color w:val="000000"/>
          <w:sz w:val="24"/>
          <w:szCs w:val="24"/>
        </w:rPr>
        <w:t>, 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 xml:space="preserve">l. z dne </w:t>
      </w:r>
      <w:r w:rsidR="00862C46">
        <w:rPr>
          <w:rFonts w:ascii="Times New Roman" w:hAnsi="Times New Roman" w:cs="Times New Roman"/>
          <w:color w:val="000000"/>
          <w:sz w:val="24"/>
          <w:szCs w:val="24"/>
        </w:rPr>
        <w:t>8. 10. 2020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 xml:space="preserve"> o potrditvi cen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862C46">
        <w:rPr>
          <w:rFonts w:ascii="Times New Roman" w:hAnsi="Times New Roman" w:cs="Times New Roman"/>
          <w:color w:val="000000"/>
          <w:sz w:val="24"/>
          <w:szCs w:val="24"/>
        </w:rPr>
        <w:t>storite obvezne občinske gospodarske javne službe za pokopališke dejavnosti</w:t>
      </w:r>
      <w:r w:rsidRPr="004D4CBF">
        <w:rPr>
          <w:rFonts w:ascii="Times New Roman" w:hAnsi="Times New Roman" w:cs="Times New Roman"/>
          <w:color w:val="000000"/>
          <w:sz w:val="24"/>
          <w:szCs w:val="24"/>
        </w:rPr>
        <w:t xml:space="preserve">, ki je oblikovana v Elaboratu,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Občinskemu svetu predlagamo, da sprejme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 xml:space="preserve">predlog sklepa v predloženi vsebini. </w:t>
      </w:r>
    </w:p>
    <w:p w:rsidR="00A63B81" w:rsidRPr="00A270D1" w:rsidRDefault="00A63B81" w:rsidP="00A63B81">
      <w:pPr>
        <w:widowControl w:val="0"/>
        <w:tabs>
          <w:tab w:val="left" w:pos="2464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B81" w:rsidRPr="00A270D1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63B81" w:rsidRPr="00093417" w:rsidRDefault="00A63B81" w:rsidP="00A63B81">
      <w:pPr>
        <w:tabs>
          <w:tab w:val="left" w:pos="2464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Obrazložitev pripravila: </w:t>
      </w:r>
    </w:p>
    <w:p w:rsidR="00A63B81" w:rsidRPr="00093417" w:rsidRDefault="00A63B81" w:rsidP="00A63B81">
      <w:pPr>
        <w:tabs>
          <w:tab w:val="left" w:pos="2464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Višja svetovalka</w:t>
      </w:r>
    </w:p>
    <w:p w:rsidR="00A63B81" w:rsidRDefault="00A63B81" w:rsidP="00A63B81">
      <w:pPr>
        <w:tabs>
          <w:tab w:val="left" w:pos="2464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mag. Irena Prodan</w:t>
      </w:r>
    </w:p>
    <w:p w:rsidR="00A63B81" w:rsidRPr="00A270D1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B81" w:rsidRPr="00A270D1" w:rsidRDefault="00A63B81" w:rsidP="00A63B81">
      <w:pPr>
        <w:tabs>
          <w:tab w:val="left" w:pos="246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63B81" w:rsidRPr="00093417" w:rsidRDefault="00A63B81" w:rsidP="00A63B81">
      <w:pPr>
        <w:tabs>
          <w:tab w:val="left" w:pos="246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Vodja UGDIKR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</w:t>
      </w: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</w:t>
      </w: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                                </w:t>
      </w:r>
      <w:r w:rsidRPr="000934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Župan</w:t>
      </w:r>
    </w:p>
    <w:p w:rsidR="00A63B81" w:rsidRPr="00093417" w:rsidRDefault="00A63B81" w:rsidP="00532C70">
      <w:pPr>
        <w:tabs>
          <w:tab w:val="left" w:pos="246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mag. Tomaž Umek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</w:t>
      </w:r>
      <w:r w:rsidRPr="00093417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      </w:t>
      </w:r>
      <w:r w:rsidR="00532C70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</w:t>
      </w:r>
      <w:r w:rsidRPr="00093417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                                                                                 </w:t>
      </w:r>
      <w:r w:rsidR="00532C7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Danilo Markočič </w:t>
      </w:r>
    </w:p>
    <w:p w:rsidR="00A63B81" w:rsidRPr="00A270D1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63B81" w:rsidRPr="00A270D1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63B81" w:rsidRPr="00A270D1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63B81" w:rsidRPr="00A270D1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63B81" w:rsidRPr="00A270D1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63B81" w:rsidRPr="00093417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Priloge:</w:t>
      </w:r>
    </w:p>
    <w:p w:rsidR="00A63B81" w:rsidRDefault="00A63B81" w:rsidP="00A63B81">
      <w:pPr>
        <w:numPr>
          <w:ilvl w:val="0"/>
          <w:numId w:val="1"/>
        </w:numPr>
        <w:tabs>
          <w:tab w:val="clear" w:pos="720"/>
          <w:tab w:val="num" w:pos="426"/>
          <w:tab w:val="left" w:pos="246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</w:t>
      </w: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redlog sklepa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</w:t>
      </w:r>
    </w:p>
    <w:p w:rsidR="00A63B81" w:rsidRPr="002B2967" w:rsidRDefault="00A63B81" w:rsidP="00A63B81">
      <w:pPr>
        <w:numPr>
          <w:ilvl w:val="0"/>
          <w:numId w:val="1"/>
        </w:numPr>
        <w:tabs>
          <w:tab w:val="clear" w:pos="720"/>
          <w:tab w:val="num" w:pos="426"/>
          <w:tab w:val="left" w:pos="246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2B296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Elaborat </w:t>
      </w:r>
      <w:r w:rsidR="00532C70">
        <w:rPr>
          <w:rFonts w:ascii="Times New Roman" w:hAnsi="Times New Roman" w:cs="Times New Roman"/>
          <w:color w:val="000000"/>
          <w:sz w:val="24"/>
          <w:szCs w:val="24"/>
        </w:rPr>
        <w:t>cen storitev obvezne občinske gospodarske javne službe pokopališke dejavnosti</w:t>
      </w:r>
      <w:r w:rsidR="00862C46">
        <w:rPr>
          <w:rFonts w:ascii="Times New Roman" w:hAnsi="Times New Roman" w:cs="Times New Roman"/>
          <w:color w:val="000000"/>
          <w:sz w:val="24"/>
          <w:szCs w:val="24"/>
        </w:rPr>
        <w:t xml:space="preserve"> iz septembra 2020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63B81" w:rsidRPr="002B2967" w:rsidRDefault="00A63B81" w:rsidP="00A63B81">
      <w:pPr>
        <w:numPr>
          <w:ilvl w:val="0"/>
          <w:numId w:val="1"/>
        </w:numPr>
        <w:tabs>
          <w:tab w:val="clear" w:pos="720"/>
          <w:tab w:val="num" w:pos="426"/>
          <w:tab w:val="left" w:pos="246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2B296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sklep Nadzornega sveta z dne </w:t>
      </w:r>
      <w:r w:rsidR="00D9467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. </w:t>
      </w:r>
      <w:r w:rsidR="00D9467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 20</w:t>
      </w:r>
      <w:r w:rsidR="00D9467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</w:p>
    <w:p w:rsidR="00A63B81" w:rsidRPr="005D5984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63B81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Obrazložitev prejmejo:</w:t>
      </w:r>
    </w:p>
    <w:p w:rsidR="00A63B81" w:rsidRPr="00D85165" w:rsidRDefault="00A63B81" w:rsidP="00A63B81">
      <w:pPr>
        <w:pStyle w:val="Odstavekseznama"/>
        <w:numPr>
          <w:ilvl w:val="0"/>
          <w:numId w:val="2"/>
        </w:numPr>
        <w:tabs>
          <w:tab w:val="left" w:pos="246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5165">
        <w:rPr>
          <w:rFonts w:ascii="Times New Roman" w:hAnsi="Times New Roman" w:cs="Times New Roman"/>
          <w:sz w:val="24"/>
          <w:szCs w:val="24"/>
        </w:rPr>
        <w:t>člani OS,</w:t>
      </w:r>
    </w:p>
    <w:p w:rsidR="00A63B81" w:rsidRDefault="00A63B81" w:rsidP="00A63B81">
      <w:pPr>
        <w:pStyle w:val="Odstavekseznama"/>
        <w:numPr>
          <w:ilvl w:val="0"/>
          <w:numId w:val="2"/>
        </w:numPr>
        <w:tabs>
          <w:tab w:val="left" w:pos="246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Urad za gospodarske dejavnosti, investicije in komunalni razvoj, tu,</w:t>
      </w:r>
    </w:p>
    <w:p w:rsidR="00A63B81" w:rsidRDefault="00A63B81" w:rsidP="00A63B81">
      <w:pPr>
        <w:pStyle w:val="Odstavekseznama"/>
        <w:numPr>
          <w:ilvl w:val="0"/>
          <w:numId w:val="2"/>
        </w:numPr>
        <w:tabs>
          <w:tab w:val="left" w:pos="246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zbirka dokumentarnega gradiva.</w:t>
      </w:r>
    </w:p>
    <w:p w:rsidR="00A63B81" w:rsidRDefault="00A63B81" w:rsidP="00A63B81">
      <w:pPr>
        <w:tabs>
          <w:tab w:val="left" w:pos="24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41" w:rightFromText="141" w:horzAnchor="margin" w:tblpY="690"/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A63B81" w:rsidRPr="00771188" w:rsidTr="00A63B81">
        <w:tc>
          <w:tcPr>
            <w:tcW w:w="1056" w:type="dxa"/>
          </w:tcPr>
          <w:p w:rsidR="00A63B81" w:rsidRPr="00771188" w:rsidRDefault="00A63B81" w:rsidP="00A63B81">
            <w:pPr>
              <w:tabs>
                <w:tab w:val="left" w:pos="24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7ECBAB3" wp14:editId="1FC3267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16" w:type="dxa"/>
          </w:tcPr>
          <w:p w:rsidR="00A63B81" w:rsidRPr="00771188" w:rsidRDefault="00A63B81" w:rsidP="00A63B81">
            <w:pPr>
              <w:tabs>
                <w:tab w:val="left" w:pos="24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OBČINA IZOLA – COMUNE DI ISOLA</w:t>
            </w:r>
            <w:r w:rsidRPr="00093417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                                                     </w:t>
            </w:r>
          </w:p>
          <w:p w:rsidR="00A63B81" w:rsidRPr="00771188" w:rsidRDefault="00A63B81" w:rsidP="00A63B81">
            <w:pPr>
              <w:tabs>
                <w:tab w:val="left" w:pos="246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eastAsia="sl-SI"/>
              </w:rPr>
              <w:t>župan</w:t>
            </w:r>
            <w:r w:rsidRPr="0077118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l-SI"/>
              </w:rPr>
              <w:t xml:space="preserve"> – IL SINDACO</w:t>
            </w:r>
            <w:r w:rsidRPr="007711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 </w:t>
            </w:r>
          </w:p>
          <w:p w:rsidR="00A63B81" w:rsidRPr="00771188" w:rsidRDefault="00A63B81" w:rsidP="00A63B81">
            <w:pPr>
              <w:tabs>
                <w:tab w:val="left" w:pos="246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A63B81" w:rsidRPr="00771188" w:rsidRDefault="00A63B81" w:rsidP="00A63B81">
            <w:pPr>
              <w:tabs>
                <w:tab w:val="left" w:pos="246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A63B81" w:rsidRPr="00771188" w:rsidRDefault="00A63B81" w:rsidP="00A63B81">
            <w:pPr>
              <w:tabs>
                <w:tab w:val="left" w:pos="246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Tel: 05 66 00 100, </w:t>
            </w:r>
            <w:proofErr w:type="spellStart"/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Fax</w:t>
            </w:r>
            <w:proofErr w:type="spellEnd"/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: 05 66 00 110</w:t>
            </w:r>
          </w:p>
          <w:p w:rsidR="00A63B81" w:rsidRPr="00771188" w:rsidRDefault="00A63B81" w:rsidP="00A63B81">
            <w:pPr>
              <w:tabs>
                <w:tab w:val="left" w:pos="246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9" w:history="1">
              <w:r w:rsidRPr="00771188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A63B81" w:rsidRPr="00771188" w:rsidRDefault="00A63B81" w:rsidP="00A63B81">
            <w:pPr>
              <w:tabs>
                <w:tab w:val="left" w:pos="24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10" w:history="1">
              <w:r w:rsidRPr="00771188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A63B81" w:rsidRPr="00A63B81" w:rsidRDefault="00A63B81" w:rsidP="00A63B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63B8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</w:t>
      </w:r>
      <w:r w:rsidRPr="00A63B81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P</w:t>
      </w:r>
      <w:r w:rsidRPr="00A63B81">
        <w:rPr>
          <w:rFonts w:ascii="Times New Roman" w:eastAsia="Calibri" w:hAnsi="Times New Roman" w:cs="Times New Roman"/>
          <w:b/>
          <w:sz w:val="24"/>
          <w:szCs w:val="24"/>
        </w:rPr>
        <w:t>riloga II</w:t>
      </w:r>
    </w:p>
    <w:p w:rsidR="00A63B81" w:rsidRDefault="00A63B81" w:rsidP="00A63B81">
      <w:pPr>
        <w:tabs>
          <w:tab w:val="left" w:pos="24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3B81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B81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B81" w:rsidRPr="00663D76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D76">
        <w:rPr>
          <w:rFonts w:ascii="Times New Roman" w:hAnsi="Times New Roman" w:cs="Times New Roman"/>
          <w:color w:val="000000"/>
          <w:sz w:val="24"/>
          <w:szCs w:val="24"/>
        </w:rPr>
        <w:t xml:space="preserve">Številka: </w:t>
      </w:r>
      <w:r w:rsidRPr="00663D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4677">
        <w:rPr>
          <w:rFonts w:ascii="Times New Roman" w:hAnsi="Times New Roman" w:cs="Times New Roman"/>
          <w:color w:val="000000"/>
          <w:sz w:val="24"/>
          <w:szCs w:val="24"/>
        </w:rPr>
        <w:t>354-185/2018</w:t>
      </w:r>
    </w:p>
    <w:p w:rsidR="00A63B81" w:rsidRPr="00663D76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D76">
        <w:rPr>
          <w:rFonts w:ascii="Times New Roman" w:hAnsi="Times New Roman" w:cs="Times New Roman"/>
          <w:color w:val="000000"/>
          <w:sz w:val="24"/>
          <w:szCs w:val="24"/>
        </w:rPr>
        <w:t xml:space="preserve">Datum: </w:t>
      </w:r>
      <w:r w:rsidRPr="00663D7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</w:p>
    <w:p w:rsidR="00A63B81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829" w:rsidRPr="00663D76" w:rsidRDefault="00A47829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63B81" w:rsidRPr="00663D76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D76">
        <w:rPr>
          <w:rFonts w:ascii="Times New Roman" w:hAnsi="Times New Roman" w:cs="Times New Roman"/>
          <w:color w:val="000000"/>
          <w:sz w:val="24"/>
          <w:szCs w:val="24"/>
        </w:rPr>
        <w:t xml:space="preserve">Na podlagi 29. člena Zakona o lokalni samoupravi </w:t>
      </w:r>
      <w:r w:rsidR="00862C46" w:rsidRPr="00862C46">
        <w:rPr>
          <w:rFonts w:ascii="Times New Roman" w:hAnsi="Times New Roman" w:cs="Times New Roman"/>
          <w:color w:val="000000"/>
          <w:sz w:val="24"/>
          <w:szCs w:val="24"/>
        </w:rPr>
        <w:t xml:space="preserve">(Uradni list RS, št. </w:t>
      </w:r>
      <w:hyperlink r:id="rId11" w:tgtFrame="_blank" w:tooltip="Zakon o lokalni samoupravi (uradno prečiščeno besedilo)" w:history="1">
        <w:r w:rsidR="00862C46" w:rsidRPr="00862C46">
          <w:rPr>
            <w:rFonts w:ascii="Times New Roman" w:hAnsi="Times New Roman" w:cs="Times New Roman"/>
            <w:color w:val="000000"/>
            <w:sz w:val="24"/>
            <w:szCs w:val="24"/>
          </w:rPr>
          <w:t>94/07</w:t>
        </w:r>
      </w:hyperlink>
      <w:r w:rsidR="00862C46" w:rsidRPr="00862C46">
        <w:rPr>
          <w:rFonts w:ascii="Times New Roman" w:hAnsi="Times New Roman" w:cs="Times New Roman"/>
          <w:color w:val="000000"/>
          <w:sz w:val="24"/>
          <w:szCs w:val="24"/>
        </w:rPr>
        <w:t xml:space="preserve"> – uradno prečiščeno besedilo, </w:t>
      </w:r>
      <w:hyperlink r:id="rId12" w:tgtFrame="_blank" w:tooltip="Zakon o dopolnitvi Zakona o lokalni samoupravi" w:history="1">
        <w:r w:rsidR="00862C46" w:rsidRPr="00862C46">
          <w:rPr>
            <w:rFonts w:ascii="Times New Roman" w:hAnsi="Times New Roman" w:cs="Times New Roman"/>
            <w:color w:val="000000"/>
            <w:sz w:val="24"/>
            <w:szCs w:val="24"/>
          </w:rPr>
          <w:t>76/08</w:t>
        </w:r>
      </w:hyperlink>
      <w:r w:rsidR="00862C46" w:rsidRPr="00862C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3" w:tgtFrame="_blank" w:tooltip="Zakon o spremembah in dopolnitvah Zakona o lokalni samoupravi" w:history="1">
        <w:r w:rsidR="00862C46" w:rsidRPr="00862C46">
          <w:rPr>
            <w:rFonts w:ascii="Times New Roman" w:hAnsi="Times New Roman" w:cs="Times New Roman"/>
            <w:color w:val="000000"/>
            <w:sz w:val="24"/>
            <w:szCs w:val="24"/>
          </w:rPr>
          <w:t>79/09</w:t>
        </w:r>
      </w:hyperlink>
      <w:r w:rsidR="00862C46" w:rsidRPr="00862C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4" w:tgtFrame="_blank" w:tooltip="Zakon o spremembah in dopolnitvah Zakona o lokalni samoupravi" w:history="1">
        <w:r w:rsidR="00862C46" w:rsidRPr="00862C46">
          <w:rPr>
            <w:rFonts w:ascii="Times New Roman" w:hAnsi="Times New Roman" w:cs="Times New Roman"/>
            <w:color w:val="000000"/>
            <w:sz w:val="24"/>
            <w:szCs w:val="24"/>
          </w:rPr>
          <w:t>51/10</w:t>
        </w:r>
      </w:hyperlink>
      <w:r w:rsidR="00862C46" w:rsidRPr="00862C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5" w:tgtFrame="_blank" w:tooltip="Zakon za uravnoteženje javnih financ" w:history="1">
        <w:r w:rsidR="00862C46" w:rsidRPr="00862C46">
          <w:rPr>
            <w:rFonts w:ascii="Times New Roman" w:hAnsi="Times New Roman" w:cs="Times New Roman"/>
            <w:color w:val="000000"/>
            <w:sz w:val="24"/>
            <w:szCs w:val="24"/>
          </w:rPr>
          <w:t>40/12</w:t>
        </w:r>
      </w:hyperlink>
      <w:r w:rsidR="00862C46" w:rsidRPr="00862C46">
        <w:rPr>
          <w:rFonts w:ascii="Times New Roman" w:hAnsi="Times New Roman" w:cs="Times New Roman"/>
          <w:color w:val="000000"/>
          <w:sz w:val="24"/>
          <w:szCs w:val="24"/>
        </w:rPr>
        <w:t xml:space="preserve"> – ZUJF, </w:t>
      </w:r>
      <w:hyperlink r:id="rId16" w:tgtFrame="_blank" w:tooltip="Zakon o ukrepih za uravnoteženje javnih financ občin" w:history="1">
        <w:r w:rsidR="00862C46" w:rsidRPr="00862C46">
          <w:rPr>
            <w:rFonts w:ascii="Times New Roman" w:hAnsi="Times New Roman" w:cs="Times New Roman"/>
            <w:color w:val="000000"/>
            <w:sz w:val="24"/>
            <w:szCs w:val="24"/>
          </w:rPr>
          <w:t>14/15</w:t>
        </w:r>
      </w:hyperlink>
      <w:r w:rsidR="00862C46" w:rsidRPr="00862C46">
        <w:rPr>
          <w:rFonts w:ascii="Times New Roman" w:hAnsi="Times New Roman" w:cs="Times New Roman"/>
          <w:color w:val="000000"/>
          <w:sz w:val="24"/>
          <w:szCs w:val="24"/>
        </w:rPr>
        <w:t xml:space="preserve"> – ZUUJFO, </w:t>
      </w:r>
      <w:hyperlink r:id="rId17" w:tgtFrame="_blank" w:tooltip="Zakon o stvarnem premoženju države in samoupravnih lokalnih skupnosti" w:history="1">
        <w:r w:rsidR="00862C46" w:rsidRPr="00862C46">
          <w:rPr>
            <w:rFonts w:ascii="Times New Roman" w:hAnsi="Times New Roman" w:cs="Times New Roman"/>
            <w:color w:val="000000"/>
            <w:sz w:val="24"/>
            <w:szCs w:val="24"/>
          </w:rPr>
          <w:t>11/18</w:t>
        </w:r>
      </w:hyperlink>
      <w:r w:rsidR="00862C46" w:rsidRPr="00862C46">
        <w:rPr>
          <w:rFonts w:ascii="Times New Roman" w:hAnsi="Times New Roman" w:cs="Times New Roman"/>
          <w:color w:val="000000"/>
          <w:sz w:val="24"/>
          <w:szCs w:val="24"/>
        </w:rPr>
        <w:t xml:space="preserve"> – ZSPDSLS-1, </w:t>
      </w:r>
      <w:hyperlink r:id="rId18" w:tgtFrame="_blank" w:tooltip="Zakon o spremembah in dopolnitvah Zakona o lokalni samoupravi" w:history="1">
        <w:r w:rsidR="00862C46" w:rsidRPr="00862C46">
          <w:rPr>
            <w:rFonts w:ascii="Times New Roman" w:hAnsi="Times New Roman" w:cs="Times New Roman"/>
            <w:color w:val="000000"/>
            <w:sz w:val="24"/>
            <w:szCs w:val="24"/>
          </w:rPr>
          <w:t>30/18</w:t>
        </w:r>
      </w:hyperlink>
      <w:r w:rsidR="00862C46" w:rsidRPr="00862C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9" w:tgtFrame="_blank" w:tooltip="Zakon o spremembah in dopolnitvah Zakona o interventnih ukrepih za zajezitev epidemije COVID-19 in omilitev njenih posledic za državljane in gospodarstvo" w:history="1">
        <w:r w:rsidR="00862C46" w:rsidRPr="00862C46">
          <w:rPr>
            <w:rFonts w:ascii="Times New Roman" w:hAnsi="Times New Roman" w:cs="Times New Roman"/>
            <w:color w:val="000000"/>
            <w:sz w:val="24"/>
            <w:szCs w:val="24"/>
          </w:rPr>
          <w:t>61/20</w:t>
        </w:r>
      </w:hyperlink>
      <w:r w:rsidR="00862C46" w:rsidRPr="00862C46">
        <w:rPr>
          <w:rFonts w:ascii="Times New Roman" w:hAnsi="Times New Roman" w:cs="Times New Roman"/>
          <w:color w:val="000000"/>
          <w:sz w:val="24"/>
          <w:szCs w:val="24"/>
        </w:rPr>
        <w:t xml:space="preserve"> – ZIUZEOP-A in </w:t>
      </w:r>
      <w:hyperlink r:id="rId20" w:tgtFrame="_blank" w:tooltip="Zakon o interventnih ukrepih za omilitev in odpravo posledic epidemije COVID-19" w:history="1">
        <w:r w:rsidR="00862C46" w:rsidRPr="00862C46">
          <w:rPr>
            <w:rFonts w:ascii="Times New Roman" w:hAnsi="Times New Roman" w:cs="Times New Roman"/>
            <w:color w:val="000000"/>
            <w:sz w:val="24"/>
            <w:szCs w:val="24"/>
          </w:rPr>
          <w:t>80/20</w:t>
        </w:r>
      </w:hyperlink>
      <w:r w:rsidR="00862C46" w:rsidRPr="00862C46">
        <w:rPr>
          <w:rFonts w:ascii="Times New Roman" w:hAnsi="Times New Roman" w:cs="Times New Roman"/>
          <w:color w:val="000000"/>
          <w:sz w:val="24"/>
          <w:szCs w:val="24"/>
        </w:rPr>
        <w:t xml:space="preserve"> – ZIUOOPE</w:t>
      </w:r>
      <w:r>
        <w:rPr>
          <w:rFonts w:ascii="Times New Roman" w:hAnsi="Times New Roman" w:cs="Times New Roman"/>
          <w:color w:val="000000"/>
          <w:sz w:val="24"/>
          <w:szCs w:val="24"/>
        </w:rPr>
        <w:t>), 30. in 101</w:t>
      </w:r>
      <w:r w:rsidRPr="00663D76">
        <w:rPr>
          <w:rFonts w:ascii="Times New Roman" w:hAnsi="Times New Roman" w:cs="Times New Roman"/>
          <w:color w:val="000000"/>
          <w:sz w:val="24"/>
          <w:szCs w:val="24"/>
        </w:rPr>
        <w:t>. člena Statuta Občine Izola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D76">
        <w:rPr>
          <w:rFonts w:ascii="Times New Roman" w:hAnsi="Times New Roman" w:cs="Times New Roman"/>
          <w:color w:val="000000"/>
          <w:sz w:val="24"/>
          <w:szCs w:val="24"/>
        </w:rPr>
        <w:t xml:space="preserve">(Uradne objave Občine Izola, št. </w:t>
      </w:r>
      <w:r>
        <w:rPr>
          <w:rFonts w:ascii="Times New Roman" w:hAnsi="Times New Roman" w:cs="Times New Roman"/>
          <w:color w:val="000000"/>
          <w:sz w:val="24"/>
          <w:szCs w:val="24"/>
        </w:rPr>
        <w:t>5/18</w:t>
      </w:r>
      <w:r w:rsidR="00862C46">
        <w:rPr>
          <w:rFonts w:ascii="Times New Roman" w:hAnsi="Times New Roman" w:cs="Times New Roman"/>
          <w:color w:val="000000"/>
          <w:sz w:val="24"/>
          <w:szCs w:val="24"/>
        </w:rPr>
        <w:t>– uradno prečiščeno besedilo</w:t>
      </w:r>
      <w:r w:rsidR="00507755"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13. člena O</w:t>
      </w:r>
      <w:r w:rsidRPr="00663D76">
        <w:rPr>
          <w:rFonts w:ascii="Times New Roman" w:hAnsi="Times New Roman" w:cs="Times New Roman"/>
          <w:color w:val="000000"/>
          <w:sz w:val="24"/>
          <w:szCs w:val="24"/>
        </w:rPr>
        <w:t>dloka o ureditvi statusa Javnega podjetja Komunala Izola, 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D76"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D76">
        <w:rPr>
          <w:rFonts w:ascii="Times New Roman" w:hAnsi="Times New Roman" w:cs="Times New Roman"/>
          <w:color w:val="000000"/>
          <w:sz w:val="24"/>
          <w:szCs w:val="24"/>
        </w:rPr>
        <w:t xml:space="preserve">o., </w:t>
      </w:r>
      <w:proofErr w:type="spellStart"/>
      <w:r w:rsidRPr="00663D76">
        <w:rPr>
          <w:rFonts w:ascii="Times New Roman" w:hAnsi="Times New Roman" w:cs="Times New Roman"/>
          <w:color w:val="000000"/>
          <w:sz w:val="24"/>
          <w:szCs w:val="24"/>
        </w:rPr>
        <w:t>Azienda</w:t>
      </w:r>
      <w:proofErr w:type="spellEnd"/>
      <w:r w:rsidRPr="00663D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D76">
        <w:rPr>
          <w:rFonts w:ascii="Times New Roman" w:hAnsi="Times New Roman" w:cs="Times New Roman"/>
          <w:color w:val="000000"/>
          <w:sz w:val="24"/>
          <w:szCs w:val="24"/>
        </w:rPr>
        <w:t>pubblica</w:t>
      </w:r>
      <w:proofErr w:type="spellEnd"/>
      <w:r w:rsidRPr="00663D76">
        <w:rPr>
          <w:rFonts w:ascii="Times New Roman" w:hAnsi="Times New Roman" w:cs="Times New Roman"/>
          <w:color w:val="000000"/>
          <w:sz w:val="24"/>
          <w:szCs w:val="24"/>
        </w:rPr>
        <w:t xml:space="preserve"> Komunala Izola, 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D76"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D76">
        <w:rPr>
          <w:rFonts w:ascii="Times New Roman" w:hAnsi="Times New Roman" w:cs="Times New Roman"/>
          <w:color w:val="000000"/>
          <w:sz w:val="24"/>
          <w:szCs w:val="24"/>
        </w:rPr>
        <w:t>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D76">
        <w:rPr>
          <w:rFonts w:ascii="Times New Roman" w:hAnsi="Times New Roman" w:cs="Times New Roman"/>
          <w:color w:val="000000"/>
          <w:sz w:val="24"/>
          <w:szCs w:val="24"/>
        </w:rPr>
        <w:t xml:space="preserve">(Uradne objave Občine Izola, št. </w:t>
      </w:r>
      <w:r>
        <w:rPr>
          <w:rFonts w:ascii="Times New Roman" w:hAnsi="Times New Roman" w:cs="Times New Roman"/>
          <w:color w:val="000000"/>
          <w:sz w:val="24"/>
          <w:szCs w:val="24"/>
        </w:rPr>
        <w:t>5/18</w:t>
      </w:r>
      <w:r w:rsidR="00507755">
        <w:rPr>
          <w:rFonts w:ascii="Times New Roman" w:hAnsi="Times New Roman" w:cs="Times New Roman"/>
          <w:color w:val="000000"/>
          <w:sz w:val="24"/>
          <w:szCs w:val="24"/>
        </w:rPr>
        <w:t>– uradno prečiščeno besedilo</w:t>
      </w:r>
      <w:r w:rsidRPr="00663D7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07755">
        <w:rPr>
          <w:rFonts w:ascii="Times New Roman" w:hAnsi="Times New Roman" w:cs="Times New Roman"/>
          <w:color w:val="000000"/>
          <w:sz w:val="24"/>
          <w:szCs w:val="24"/>
        </w:rPr>
        <w:t xml:space="preserve">ter </w:t>
      </w: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663D76">
        <w:rPr>
          <w:rFonts w:ascii="Times New Roman" w:hAnsi="Times New Roman" w:cs="Times New Roman"/>
          <w:color w:val="000000"/>
          <w:sz w:val="24"/>
          <w:szCs w:val="24"/>
        </w:rPr>
        <w:t xml:space="preserve">.člena Odloka o </w:t>
      </w:r>
      <w:r>
        <w:rPr>
          <w:rFonts w:ascii="Times New Roman" w:hAnsi="Times New Roman" w:cs="Times New Roman"/>
          <w:color w:val="000000"/>
          <w:sz w:val="24"/>
          <w:szCs w:val="24"/>
        </w:rPr>
        <w:t>pogrebni in pokopališki dejavnosti na območju Občine Izola</w:t>
      </w:r>
      <w:r w:rsidRPr="00663D76">
        <w:rPr>
          <w:rFonts w:ascii="Times New Roman" w:hAnsi="Times New Roman" w:cs="Times New Roman"/>
          <w:color w:val="000000"/>
          <w:sz w:val="24"/>
          <w:szCs w:val="24"/>
        </w:rPr>
        <w:t xml:space="preserve"> (Uradne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bjave Občine Izola, št. 18/17) </w:t>
      </w:r>
      <w:r w:rsidRPr="00663D76">
        <w:rPr>
          <w:rFonts w:ascii="Times New Roman" w:hAnsi="Times New Roman" w:cs="Times New Roman"/>
          <w:color w:val="000000"/>
          <w:sz w:val="24"/>
          <w:szCs w:val="24"/>
        </w:rPr>
        <w:t>je Občinski svet Občine Izola na svoji …. redni seji dne …………. na predlog izvajalca gospodarske javne službe JP Komunala Izola 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D76"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D76">
        <w:rPr>
          <w:rFonts w:ascii="Times New Roman" w:hAnsi="Times New Roman" w:cs="Times New Roman"/>
          <w:color w:val="000000"/>
          <w:sz w:val="24"/>
          <w:szCs w:val="24"/>
        </w:rPr>
        <w:t>o. in potrditvi cenika Nadzornega sveta JP Komunala Izola 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D76"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o. z dne </w:t>
      </w:r>
      <w:r w:rsidR="00532C70">
        <w:rPr>
          <w:rFonts w:ascii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C70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532C70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D76">
        <w:rPr>
          <w:rFonts w:ascii="Times New Roman" w:hAnsi="Times New Roman" w:cs="Times New Roman"/>
          <w:color w:val="000000"/>
          <w:sz w:val="24"/>
          <w:szCs w:val="24"/>
        </w:rPr>
        <w:t xml:space="preserve">sprejel naslednji </w:t>
      </w:r>
    </w:p>
    <w:p w:rsidR="00A63B81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B81" w:rsidRDefault="00A63B81" w:rsidP="00A63B81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3B79">
        <w:rPr>
          <w:rFonts w:ascii="Times New Roman" w:hAnsi="Times New Roman" w:cs="Times New Roman"/>
          <w:b/>
          <w:color w:val="000000"/>
          <w:sz w:val="24"/>
          <w:szCs w:val="24"/>
        </w:rPr>
        <w:t>S  K  L  E  P</w:t>
      </w:r>
    </w:p>
    <w:p w:rsidR="00A63B81" w:rsidRPr="00BB3B79" w:rsidRDefault="00A63B81" w:rsidP="00A63B81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B81" w:rsidRPr="00BB3B79" w:rsidRDefault="00A63B81" w:rsidP="00A63B81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3B79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A63B81" w:rsidRPr="00BB3B79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B79">
        <w:rPr>
          <w:rFonts w:ascii="Times New Roman" w:hAnsi="Times New Roman" w:cs="Times New Roman"/>
          <w:color w:val="000000"/>
          <w:sz w:val="24"/>
          <w:szCs w:val="24"/>
        </w:rPr>
        <w:t xml:space="preserve">Potrdi se Elaborat </w:t>
      </w:r>
      <w:r w:rsidR="00532C70">
        <w:rPr>
          <w:rFonts w:ascii="Times New Roman" w:hAnsi="Times New Roman" w:cs="Times New Roman"/>
          <w:color w:val="000000"/>
          <w:sz w:val="24"/>
          <w:szCs w:val="24"/>
        </w:rPr>
        <w:t>cen storitev obvezne občinske gospodarske javne službe pokopališke dejavnosti iz septembra 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predlagan</w:t>
      </w:r>
      <w:r w:rsidR="00532C70">
        <w:rPr>
          <w:rFonts w:ascii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</w:t>
      </w:r>
      <w:r w:rsidR="00532C70">
        <w:rPr>
          <w:rFonts w:ascii="Times New Roman" w:hAnsi="Times New Roman" w:cs="Times New Roman"/>
          <w:color w:val="000000"/>
          <w:sz w:val="24"/>
          <w:szCs w:val="24"/>
        </w:rPr>
        <w:t>ikom</w:t>
      </w:r>
      <w:r w:rsidRPr="00BB3B79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C70">
        <w:rPr>
          <w:rFonts w:ascii="Times New Roman" w:hAnsi="Times New Roman" w:cs="Times New Roman"/>
          <w:color w:val="000000"/>
          <w:sz w:val="24"/>
          <w:szCs w:val="24"/>
        </w:rPr>
        <w:t>pokopališke storitve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63B81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B81" w:rsidRPr="00E00DE6" w:rsidRDefault="00A63B81" w:rsidP="00A63B81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E6">
        <w:rPr>
          <w:rFonts w:ascii="Times New Roman" w:hAnsi="Times New Roman" w:cs="Times New Roman"/>
          <w:sz w:val="24"/>
          <w:szCs w:val="24"/>
        </w:rPr>
        <w:t>2.</w:t>
      </w:r>
    </w:p>
    <w:p w:rsidR="00A63B81" w:rsidRPr="00E00DE6" w:rsidRDefault="00532C70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Cenik za pokopališke storitve: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4577"/>
        <w:gridCol w:w="3402"/>
      </w:tblGrid>
      <w:tr w:rsidR="00532C70" w:rsidTr="00532C70">
        <w:trPr>
          <w:trHeight w:val="6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POKOPALIŠKE STORITVE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v EUR </w:t>
            </w:r>
          </w:p>
        </w:tc>
      </w:tr>
      <w:tr w:rsidR="00532C70" w:rsidTr="00532C70">
        <w:trPr>
          <w:trHeight w:val="28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Izkop in zasutje grobne jame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199,61</w:t>
            </w:r>
          </w:p>
        </w:tc>
      </w:tr>
      <w:tr w:rsidR="00532C70" w:rsidTr="00532C70">
        <w:trPr>
          <w:trHeight w:val="57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C70" w:rsidRPr="00532C70" w:rsidRDefault="00532C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Izkop in zasutje grobne jame za otroke in za žarne grobove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80,44</w:t>
            </w:r>
          </w:p>
        </w:tc>
      </w:tr>
      <w:tr w:rsidR="00532C70" w:rsidTr="00532C70">
        <w:trPr>
          <w:trHeight w:val="28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Enkratna poglobitev groba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46,64</w:t>
            </w:r>
          </w:p>
        </w:tc>
      </w:tr>
      <w:tr w:rsidR="00532C70" w:rsidTr="00532C70">
        <w:trPr>
          <w:trHeight w:val="28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Prekop posmrtnih ostankov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331,60</w:t>
            </w:r>
          </w:p>
        </w:tc>
      </w:tr>
      <w:tr w:rsidR="00532C70" w:rsidTr="00532C70">
        <w:trPr>
          <w:trHeight w:val="28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Priprava opreme, čiščenje in pospravilo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25,81</w:t>
            </w:r>
          </w:p>
        </w:tc>
      </w:tr>
      <w:tr w:rsidR="00532C70" w:rsidTr="00532C70">
        <w:trPr>
          <w:trHeight w:val="28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Najem mrliške veže - mala vežica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59,54</w:t>
            </w:r>
          </w:p>
        </w:tc>
      </w:tr>
      <w:tr w:rsidR="00532C70" w:rsidTr="00532C70">
        <w:trPr>
          <w:trHeight w:val="28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Najem mrliške veže - velika vežica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66,94</w:t>
            </w:r>
          </w:p>
        </w:tc>
      </w:tr>
      <w:tr w:rsidR="00532C70" w:rsidTr="00532C70">
        <w:trPr>
          <w:trHeight w:val="28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Grobar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16,57</w:t>
            </w:r>
          </w:p>
        </w:tc>
      </w:tr>
      <w:tr w:rsidR="00532C70" w:rsidTr="00532C70">
        <w:trPr>
          <w:trHeight w:val="28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Raztros pepela - na pokopališču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26,82</w:t>
            </w:r>
          </w:p>
        </w:tc>
      </w:tr>
      <w:tr w:rsidR="00532C70" w:rsidTr="00532C70">
        <w:trPr>
          <w:trHeight w:val="46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GROBNINE - letno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2C70" w:rsidTr="00532C70">
        <w:trPr>
          <w:trHeight w:val="28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70" w:rsidRPr="00532C70" w:rsidRDefault="00532C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sz w:val="24"/>
                <w:szCs w:val="24"/>
              </w:rPr>
              <w:t>Enojni grob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sz w:val="24"/>
                <w:szCs w:val="24"/>
              </w:rPr>
              <w:t>26,82</w:t>
            </w:r>
          </w:p>
        </w:tc>
      </w:tr>
      <w:tr w:rsidR="00532C70" w:rsidTr="00532C70">
        <w:trPr>
          <w:trHeight w:val="28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70" w:rsidRPr="00532C70" w:rsidRDefault="00532C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sz w:val="24"/>
                <w:szCs w:val="24"/>
              </w:rPr>
              <w:t>Dvojni grob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sz w:val="24"/>
                <w:szCs w:val="24"/>
              </w:rPr>
              <w:t>53,64</w:t>
            </w:r>
          </w:p>
        </w:tc>
      </w:tr>
      <w:tr w:rsidR="00532C70" w:rsidTr="00532C70">
        <w:trPr>
          <w:trHeight w:val="28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70" w:rsidRPr="00532C70" w:rsidRDefault="00532C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sz w:val="24"/>
                <w:szCs w:val="24"/>
              </w:rPr>
              <w:t xml:space="preserve">Otroški grob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</w:tr>
      <w:tr w:rsidR="00532C70" w:rsidTr="00532C70">
        <w:trPr>
          <w:trHeight w:val="28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70" w:rsidRPr="00532C70" w:rsidRDefault="00532C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sz w:val="24"/>
                <w:szCs w:val="24"/>
              </w:rPr>
              <w:t>Grobnica (do 4 pokojniki)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sz w:val="24"/>
                <w:szCs w:val="24"/>
              </w:rPr>
              <w:t>107,29</w:t>
            </w:r>
          </w:p>
        </w:tc>
      </w:tr>
      <w:tr w:rsidR="00532C70" w:rsidTr="00532C70">
        <w:trPr>
          <w:trHeight w:val="28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70" w:rsidRPr="00532C70" w:rsidRDefault="00532C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sz w:val="24"/>
                <w:szCs w:val="24"/>
              </w:rPr>
              <w:t>Grobnica (nad 4 pokojniki)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sz w:val="24"/>
                <w:szCs w:val="24"/>
              </w:rPr>
              <w:t>160,93</w:t>
            </w:r>
          </w:p>
        </w:tc>
      </w:tr>
      <w:tr w:rsidR="00532C70" w:rsidTr="00532C70">
        <w:trPr>
          <w:trHeight w:val="28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70" w:rsidRPr="00532C70" w:rsidRDefault="00532C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sz w:val="24"/>
                <w:szCs w:val="24"/>
              </w:rPr>
              <w:t>Talni žarni grob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</w:tr>
      <w:tr w:rsidR="00532C70" w:rsidTr="00532C70">
        <w:trPr>
          <w:trHeight w:val="28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70" w:rsidRPr="00532C70" w:rsidRDefault="00532C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sz w:val="24"/>
                <w:szCs w:val="24"/>
              </w:rPr>
              <w:t>Stenski žarni grob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</w:tr>
      <w:tr w:rsidR="00532C70" w:rsidTr="00532C70">
        <w:trPr>
          <w:trHeight w:val="28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70" w:rsidRPr="00532C70" w:rsidRDefault="00532C70">
            <w:pPr>
              <w:spacing w:line="27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70" w:rsidRPr="00532C70" w:rsidRDefault="00532C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sz w:val="24"/>
                <w:szCs w:val="24"/>
              </w:rPr>
              <w:t>Obeležja – raztrosi*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70" w:rsidRPr="00532C70" w:rsidRDefault="00532C7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C70">
              <w:rPr>
                <w:rFonts w:ascii="Times New Roman" w:hAnsi="Times New Roman" w:cs="Times New Roman"/>
                <w:sz w:val="24"/>
                <w:szCs w:val="24"/>
              </w:rPr>
              <w:t>13,41</w:t>
            </w:r>
          </w:p>
        </w:tc>
      </w:tr>
    </w:tbl>
    <w:p w:rsidR="00532C70" w:rsidRPr="00532C70" w:rsidRDefault="00532C70" w:rsidP="00532C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C70">
        <w:rPr>
          <w:rFonts w:ascii="Times New Roman" w:hAnsi="Times New Roman" w:cs="Times New Roman"/>
          <w:color w:val="000000"/>
          <w:sz w:val="24"/>
          <w:szCs w:val="24"/>
        </w:rPr>
        <w:t>*Najemnina prostora za napisno ploščico se plača za neprekinjeno obdobje 10 let. Najemnik plača tudi napisno ploščico, njeno izdelavo in postavitev v višini nastalih stroškov.</w:t>
      </w:r>
    </w:p>
    <w:p w:rsidR="00532C70" w:rsidRPr="00532C70" w:rsidRDefault="00532C70" w:rsidP="0053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C70" w:rsidRPr="00532C70" w:rsidRDefault="00532C70" w:rsidP="0053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C70">
        <w:rPr>
          <w:rFonts w:ascii="Times New Roman" w:hAnsi="Times New Roman" w:cs="Times New Roman"/>
          <w:sz w:val="24"/>
          <w:szCs w:val="24"/>
        </w:rPr>
        <w:t>Cene so v EUR brez DDV.</w:t>
      </w:r>
    </w:p>
    <w:p w:rsidR="00532C70" w:rsidRPr="00532C70" w:rsidRDefault="00532C70" w:rsidP="0053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C70" w:rsidRPr="00532C70" w:rsidRDefault="00507755" w:rsidP="0053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Cene veljajo od </w:t>
      </w:r>
      <w:r w:rsidR="00532C70" w:rsidRPr="00532C70">
        <w:rPr>
          <w:rFonts w:ascii="Times New Roman" w:hAnsi="Times New Roman" w:cs="Times New Roman"/>
          <w:sz w:val="24"/>
          <w:szCs w:val="24"/>
        </w:rPr>
        <w:t>1. 12. 2020.</w:t>
      </w:r>
    </w:p>
    <w:p w:rsidR="00A63B81" w:rsidRPr="00E00DE6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B81" w:rsidRPr="00885851" w:rsidRDefault="00A63B81" w:rsidP="00885851">
      <w:pPr>
        <w:pStyle w:val="Odstavekseznama"/>
        <w:numPr>
          <w:ilvl w:val="0"/>
          <w:numId w:val="8"/>
        </w:numPr>
        <w:tabs>
          <w:tab w:val="left" w:pos="2464"/>
        </w:tabs>
        <w:spacing w:after="0" w:line="240" w:lineRule="auto"/>
        <w:ind w:hanging="1635"/>
        <w:rPr>
          <w:rFonts w:ascii="Times New Roman" w:hAnsi="Times New Roman" w:cs="Times New Roman"/>
          <w:color w:val="000000"/>
          <w:sz w:val="24"/>
          <w:szCs w:val="24"/>
        </w:rPr>
      </w:pPr>
    </w:p>
    <w:p w:rsidR="00A63B81" w:rsidRPr="00BB3B79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B79">
        <w:rPr>
          <w:rFonts w:ascii="Times New Roman" w:hAnsi="Times New Roman" w:cs="Times New Roman"/>
          <w:color w:val="000000"/>
          <w:sz w:val="24"/>
          <w:szCs w:val="24"/>
        </w:rPr>
        <w:t xml:space="preserve">Sklep začne veljati </w:t>
      </w:r>
      <w:r>
        <w:rPr>
          <w:rFonts w:ascii="Times New Roman" w:hAnsi="Times New Roman" w:cs="Times New Roman"/>
          <w:color w:val="000000"/>
          <w:sz w:val="24"/>
          <w:szCs w:val="24"/>
        </w:rPr>
        <w:t>naslednji</w:t>
      </w:r>
      <w:r w:rsidRPr="00BB3B79">
        <w:rPr>
          <w:rFonts w:ascii="Times New Roman" w:hAnsi="Times New Roman" w:cs="Times New Roman"/>
          <w:color w:val="000000"/>
          <w:sz w:val="24"/>
          <w:szCs w:val="24"/>
        </w:rPr>
        <w:t xml:space="preserve"> dan po objavi v Uradnih objavah Občine Izola.</w:t>
      </w:r>
    </w:p>
    <w:p w:rsidR="00A63B81" w:rsidRPr="00BB3B79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B81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B81" w:rsidRPr="00BB3B79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B3B79">
        <w:rPr>
          <w:rFonts w:ascii="Times New Roman" w:hAnsi="Times New Roman" w:cs="Times New Roman"/>
          <w:color w:val="000000"/>
          <w:sz w:val="24"/>
          <w:szCs w:val="24"/>
        </w:rPr>
        <w:t>Župan</w:t>
      </w:r>
    </w:p>
    <w:p w:rsidR="00A63B81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B7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BB3B7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32C70">
        <w:rPr>
          <w:rFonts w:ascii="Times New Roman" w:hAnsi="Times New Roman" w:cs="Times New Roman"/>
          <w:color w:val="000000"/>
          <w:sz w:val="24"/>
          <w:szCs w:val="24"/>
        </w:rPr>
        <w:t>Danilo Markočič</w:t>
      </w:r>
    </w:p>
    <w:p w:rsidR="00532C70" w:rsidRDefault="00532C70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2C70" w:rsidRDefault="00532C70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4426" w:rsidRDefault="00374426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4426" w:rsidRDefault="00374426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4426" w:rsidRPr="00BB3B79" w:rsidRDefault="00374426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B81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829" w:rsidRDefault="00A47829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829" w:rsidRDefault="00A47829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829" w:rsidRDefault="00A47829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829" w:rsidRDefault="00A47829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829" w:rsidRDefault="00A47829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829" w:rsidRDefault="00A47829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829" w:rsidRDefault="00A47829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B81" w:rsidRPr="00BB3B79" w:rsidRDefault="00A63B81" w:rsidP="00A63B81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B79">
        <w:rPr>
          <w:rFonts w:ascii="Times New Roman" w:hAnsi="Times New Roman" w:cs="Times New Roman"/>
          <w:color w:val="000000"/>
          <w:sz w:val="24"/>
          <w:szCs w:val="24"/>
        </w:rPr>
        <w:t>Sklep prejmejo:</w:t>
      </w:r>
    </w:p>
    <w:p w:rsidR="00A63B81" w:rsidRPr="00BB3B79" w:rsidRDefault="00A63B81" w:rsidP="00A63B81">
      <w:pPr>
        <w:pStyle w:val="Odstavekseznama"/>
        <w:numPr>
          <w:ilvl w:val="0"/>
          <w:numId w:val="3"/>
        </w:numPr>
        <w:tabs>
          <w:tab w:val="left" w:pos="246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B79">
        <w:rPr>
          <w:rFonts w:ascii="Times New Roman" w:hAnsi="Times New Roman" w:cs="Times New Roman"/>
          <w:color w:val="000000"/>
          <w:sz w:val="24"/>
          <w:szCs w:val="24"/>
        </w:rPr>
        <w:t>JP Komunala Izola, 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B79"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B79">
        <w:rPr>
          <w:rFonts w:ascii="Times New Roman" w:hAnsi="Times New Roman" w:cs="Times New Roman"/>
          <w:color w:val="000000"/>
          <w:sz w:val="24"/>
          <w:szCs w:val="24"/>
        </w:rPr>
        <w:t xml:space="preserve">o. – </w:t>
      </w:r>
      <w:proofErr w:type="spellStart"/>
      <w:r w:rsidRPr="00BB3B79">
        <w:rPr>
          <w:rFonts w:ascii="Times New Roman" w:hAnsi="Times New Roman" w:cs="Times New Roman"/>
          <w:color w:val="000000"/>
          <w:sz w:val="24"/>
          <w:szCs w:val="24"/>
        </w:rPr>
        <w:t>Azienda</w:t>
      </w:r>
      <w:proofErr w:type="spellEnd"/>
      <w:r w:rsidRPr="00BB3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3B79">
        <w:rPr>
          <w:rFonts w:ascii="Times New Roman" w:hAnsi="Times New Roman" w:cs="Times New Roman"/>
          <w:color w:val="000000"/>
          <w:sz w:val="24"/>
          <w:szCs w:val="24"/>
        </w:rPr>
        <w:t>pubblica</w:t>
      </w:r>
      <w:proofErr w:type="spellEnd"/>
      <w:r w:rsidRPr="00BB3B79">
        <w:rPr>
          <w:rFonts w:ascii="Times New Roman" w:hAnsi="Times New Roman" w:cs="Times New Roman"/>
          <w:color w:val="000000"/>
          <w:sz w:val="24"/>
          <w:szCs w:val="24"/>
        </w:rPr>
        <w:t xml:space="preserve"> Komunala </w:t>
      </w:r>
      <w:proofErr w:type="spellStart"/>
      <w:r w:rsidRPr="00BB3B79">
        <w:rPr>
          <w:rFonts w:ascii="Times New Roman" w:hAnsi="Times New Roman" w:cs="Times New Roman"/>
          <w:color w:val="000000"/>
          <w:sz w:val="24"/>
          <w:szCs w:val="24"/>
        </w:rPr>
        <w:t>Isola</w:t>
      </w:r>
      <w:proofErr w:type="spellEnd"/>
      <w:r w:rsidRPr="00BB3B79">
        <w:rPr>
          <w:rFonts w:ascii="Times New Roman" w:hAnsi="Times New Roman" w:cs="Times New Roman"/>
          <w:color w:val="000000"/>
          <w:sz w:val="24"/>
          <w:szCs w:val="24"/>
        </w:rPr>
        <w:t>, 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B79"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B79">
        <w:rPr>
          <w:rFonts w:ascii="Times New Roman" w:hAnsi="Times New Roman" w:cs="Times New Roman"/>
          <w:color w:val="000000"/>
          <w:sz w:val="24"/>
          <w:szCs w:val="24"/>
        </w:rPr>
        <w:t>l.,</w:t>
      </w:r>
    </w:p>
    <w:p w:rsidR="00DC0057" w:rsidRDefault="00532C70" w:rsidP="00892CB6">
      <w:pPr>
        <w:pStyle w:val="Odstavekseznama"/>
        <w:numPr>
          <w:ilvl w:val="0"/>
          <w:numId w:val="3"/>
        </w:numPr>
        <w:tabs>
          <w:tab w:val="left" w:pos="2464"/>
        </w:tabs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63B81" w:rsidRPr="00A63B81">
        <w:rPr>
          <w:rFonts w:ascii="Times New Roman" w:hAnsi="Times New Roman" w:cs="Times New Roman"/>
          <w:color w:val="000000"/>
          <w:sz w:val="24"/>
          <w:szCs w:val="24"/>
        </w:rPr>
        <w:t>birka dokumentarnega gradiva</w:t>
      </w:r>
      <w:permStart w:id="853100833" w:edGrp="everyone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ermEnd w:id="853100833"/>
    </w:p>
    <w:sectPr w:rsidR="00DC0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FF"/>
    <w:multiLevelType w:val="hybridMultilevel"/>
    <w:tmpl w:val="47785CE8"/>
    <w:lvl w:ilvl="0" w:tplc="A6FCB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0849"/>
    <w:multiLevelType w:val="hybridMultilevel"/>
    <w:tmpl w:val="C08A06CE"/>
    <w:lvl w:ilvl="0" w:tplc="35068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7AA3"/>
    <w:multiLevelType w:val="hybridMultilevel"/>
    <w:tmpl w:val="F6DE22C4"/>
    <w:lvl w:ilvl="0" w:tplc="35068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8571D"/>
    <w:multiLevelType w:val="hybridMultilevel"/>
    <w:tmpl w:val="6712B146"/>
    <w:lvl w:ilvl="0" w:tplc="A95CB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D1810"/>
    <w:multiLevelType w:val="hybridMultilevel"/>
    <w:tmpl w:val="144AD5D8"/>
    <w:lvl w:ilvl="0" w:tplc="C7AC89C6">
      <w:start w:val="3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750" w:hanging="360"/>
      </w:pPr>
    </w:lvl>
    <w:lvl w:ilvl="2" w:tplc="0424001B" w:tentative="1">
      <w:start w:val="1"/>
      <w:numFmt w:val="lowerRoman"/>
      <w:lvlText w:val="%3."/>
      <w:lvlJc w:val="right"/>
      <w:pPr>
        <w:ind w:left="7470" w:hanging="180"/>
      </w:pPr>
    </w:lvl>
    <w:lvl w:ilvl="3" w:tplc="0424000F" w:tentative="1">
      <w:start w:val="1"/>
      <w:numFmt w:val="decimal"/>
      <w:lvlText w:val="%4."/>
      <w:lvlJc w:val="left"/>
      <w:pPr>
        <w:ind w:left="8190" w:hanging="360"/>
      </w:pPr>
    </w:lvl>
    <w:lvl w:ilvl="4" w:tplc="04240019" w:tentative="1">
      <w:start w:val="1"/>
      <w:numFmt w:val="lowerLetter"/>
      <w:lvlText w:val="%5."/>
      <w:lvlJc w:val="left"/>
      <w:pPr>
        <w:ind w:left="8910" w:hanging="360"/>
      </w:pPr>
    </w:lvl>
    <w:lvl w:ilvl="5" w:tplc="0424001B" w:tentative="1">
      <w:start w:val="1"/>
      <w:numFmt w:val="lowerRoman"/>
      <w:lvlText w:val="%6."/>
      <w:lvlJc w:val="right"/>
      <w:pPr>
        <w:ind w:left="9630" w:hanging="180"/>
      </w:pPr>
    </w:lvl>
    <w:lvl w:ilvl="6" w:tplc="0424000F" w:tentative="1">
      <w:start w:val="1"/>
      <w:numFmt w:val="decimal"/>
      <w:lvlText w:val="%7."/>
      <w:lvlJc w:val="left"/>
      <w:pPr>
        <w:ind w:left="10350" w:hanging="360"/>
      </w:pPr>
    </w:lvl>
    <w:lvl w:ilvl="7" w:tplc="04240019" w:tentative="1">
      <w:start w:val="1"/>
      <w:numFmt w:val="lowerLetter"/>
      <w:lvlText w:val="%8."/>
      <w:lvlJc w:val="left"/>
      <w:pPr>
        <w:ind w:left="11070" w:hanging="360"/>
      </w:pPr>
    </w:lvl>
    <w:lvl w:ilvl="8" w:tplc="0424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5" w15:restartNumberingAfterBreak="0">
    <w:nsid w:val="656D62C0"/>
    <w:multiLevelType w:val="hybridMultilevel"/>
    <w:tmpl w:val="E382865A"/>
    <w:lvl w:ilvl="0" w:tplc="B0729E06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66EB6"/>
    <w:multiLevelType w:val="hybridMultilevel"/>
    <w:tmpl w:val="7C101884"/>
    <w:lvl w:ilvl="0" w:tplc="4DA08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C21DC"/>
    <w:multiLevelType w:val="hybridMultilevel"/>
    <w:tmpl w:val="36FAA6A8"/>
    <w:lvl w:ilvl="0" w:tplc="EB361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81"/>
    <w:rsid w:val="00351D6F"/>
    <w:rsid w:val="00374426"/>
    <w:rsid w:val="0037595F"/>
    <w:rsid w:val="00447F8B"/>
    <w:rsid w:val="00507755"/>
    <w:rsid w:val="00532C70"/>
    <w:rsid w:val="00696906"/>
    <w:rsid w:val="00862C46"/>
    <w:rsid w:val="00885851"/>
    <w:rsid w:val="008D7C59"/>
    <w:rsid w:val="00A47829"/>
    <w:rsid w:val="00A63B81"/>
    <w:rsid w:val="00B50794"/>
    <w:rsid w:val="00BA5B5A"/>
    <w:rsid w:val="00D94677"/>
    <w:rsid w:val="00D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BD83"/>
  <w15:chartTrackingRefBased/>
  <w15:docId w15:val="{DDBD9F41-C84B-4344-8223-2FFA1FA8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3B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3B81"/>
    <w:pPr>
      <w:spacing w:after="200" w:line="276" w:lineRule="auto"/>
      <w:ind w:left="720"/>
      <w:contextualSpacing/>
    </w:pPr>
  </w:style>
  <w:style w:type="paragraph" w:styleId="Navadensplet">
    <w:name w:val="Normal (Web)"/>
    <w:basedOn w:val="Navaden"/>
    <w:rsid w:val="00A63B81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A6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2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FontStyle26">
    <w:name w:val="Font Style26"/>
    <w:uiPriority w:val="99"/>
    <w:rsid w:val="00532C70"/>
    <w:rPr>
      <w:rFonts w:ascii="Verdana" w:hAnsi="Verdana" w:cs="Verdana" w:hint="default"/>
      <w:color w:val="000000"/>
      <w:sz w:val="12"/>
      <w:szCs w:val="1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7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7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09-01-3437" TargetMode="External"/><Relationship Id="rId18" Type="http://schemas.openxmlformats.org/officeDocument/2006/relationships/hyperlink" Target="http://www.uradni-list.si/1/objava.jsp?sop=2018-01-135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08-01-3347" TargetMode="External"/><Relationship Id="rId17" Type="http://schemas.openxmlformats.org/officeDocument/2006/relationships/hyperlink" Target="http://www.uradni-list.si/1/objava.jsp?sop=2018-01-04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0505" TargetMode="External"/><Relationship Id="rId20" Type="http://schemas.openxmlformats.org/officeDocument/2006/relationships/hyperlink" Target="http://www.uradni-list.si/1/objava.jsp?sop=2020-01-119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07-01-46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1700" TargetMode="External"/><Relationship Id="rId10" Type="http://schemas.openxmlformats.org/officeDocument/2006/relationships/hyperlink" Target="http://www.izola.si/" TargetMode="External"/><Relationship Id="rId19" Type="http://schemas.openxmlformats.org/officeDocument/2006/relationships/hyperlink" Target="http://www.uradni-list.si/1/objava.jsp?sop=2020-01-09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Relationship Id="rId14" Type="http://schemas.openxmlformats.org/officeDocument/2006/relationships/hyperlink" Target="http://www.uradni-list.si/1/objava.jsp?sop=2010-01-27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4DC28A-AC75-4BF5-81C1-8366AEEC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Prodan</dc:creator>
  <cp:keywords/>
  <dc:description/>
  <cp:lastModifiedBy>Irena Prodan</cp:lastModifiedBy>
  <cp:revision>7</cp:revision>
  <cp:lastPrinted>2020-10-16T08:58:00Z</cp:lastPrinted>
  <dcterms:created xsi:type="dcterms:W3CDTF">2020-10-15T11:57:00Z</dcterms:created>
  <dcterms:modified xsi:type="dcterms:W3CDTF">2020-10-26T14:32:00Z</dcterms:modified>
</cp:coreProperties>
</file>