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A3" w:rsidRPr="00C14CF4" w:rsidRDefault="00581DA3" w:rsidP="00581DA3">
      <w:pPr>
        <w:shd w:val="clear" w:color="auto" w:fill="FFFFFF"/>
        <w:spacing w:after="120" w:line="240" w:lineRule="auto"/>
        <w:ind w:firstLine="330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C14CF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A</w:t>
      </w:r>
      <w:r w:rsidR="00E9509D" w:rsidRPr="00C14CF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LLEGATO</w:t>
      </w:r>
      <w:r w:rsidRPr="00C14CF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II</w:t>
      </w:r>
    </w:p>
    <w:p w:rsidR="00581DA3" w:rsidRPr="00C14CF4" w:rsidRDefault="00581DA3" w:rsidP="00581DA3">
      <w:pPr>
        <w:shd w:val="clear" w:color="auto" w:fill="FFFFFF"/>
        <w:spacing w:after="120" w:line="240" w:lineRule="auto"/>
        <w:ind w:firstLine="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C14CF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PR</w:t>
      </w:r>
      <w:r w:rsidR="00E9509D" w:rsidRPr="00C14CF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OPOSTA DEL DECRETO</w:t>
      </w:r>
    </w:p>
    <w:p w:rsidR="00581DA3" w:rsidRPr="00C14CF4" w:rsidRDefault="00581DA3" w:rsidP="00581DA3">
      <w:pPr>
        <w:shd w:val="clear" w:color="auto" w:fill="FFFFFF"/>
        <w:spacing w:after="120" w:line="24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81DA3" w:rsidRPr="00C14CF4" w:rsidRDefault="00BB6A04" w:rsidP="00581DA3">
      <w:pPr>
        <w:shd w:val="clear" w:color="auto" w:fill="FFFFFF"/>
        <w:spacing w:after="120" w:line="24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In virtù</w:t>
      </w:r>
      <w:r w:rsidR="00D95EC8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="00D07E93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del secondo comma dell'articolo 132 della Legge sull'assetto del territorio (Gazzetta Ufficiale della RS n. 61/17) e degli articoli 30 e 101 dello Statuto del Comune di Isola (Bollettino Ufficiale del Comune di Isola n. 5/18 – testo unico ufficiale), il Consiglio del Comune di Isola, riunitosi il ___ alla sua ___ seduta, accoglie il seguente</w:t>
      </w:r>
    </w:p>
    <w:p w:rsidR="00581DA3" w:rsidRPr="00C14CF4" w:rsidRDefault="00581DA3" w:rsidP="00581DA3">
      <w:pPr>
        <w:shd w:val="clear" w:color="auto" w:fill="FFFFFF"/>
        <w:spacing w:after="120" w:line="24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81DA3" w:rsidRPr="00C14CF4" w:rsidRDefault="00D07E93" w:rsidP="00581DA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C14C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D</w:t>
      </w:r>
      <w:r w:rsidR="00581DA3" w:rsidRPr="00C14C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</w:t>
      </w:r>
      <w:r w:rsidRPr="00C14C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E</w:t>
      </w:r>
      <w:r w:rsidR="00581DA3" w:rsidRPr="00C14C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</w:t>
      </w:r>
      <w:r w:rsidRPr="00C14C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C</w:t>
      </w:r>
      <w:r w:rsidR="00581DA3" w:rsidRPr="00C14C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</w:t>
      </w:r>
      <w:r w:rsidRPr="00C14C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R</w:t>
      </w:r>
      <w:r w:rsidR="00581DA3" w:rsidRPr="00C14C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</w:t>
      </w:r>
      <w:r w:rsidRPr="00C14C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E T O</w:t>
      </w:r>
    </w:p>
    <w:p w:rsidR="00581DA3" w:rsidRPr="00C14CF4" w:rsidRDefault="00941A92" w:rsidP="00581DA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C14C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s</w:t>
      </w:r>
      <w:r w:rsidR="00A97306" w:rsidRPr="00C14C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ulla determinazione del</w:t>
      </w:r>
      <w:r w:rsidR="00820E17" w:rsidRPr="00C14C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l'indennizzo</w:t>
      </w:r>
      <w:r w:rsidR="00A97306" w:rsidRPr="00C14C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delle spese della revisione ubicativa nel comune di Isola</w:t>
      </w:r>
    </w:p>
    <w:p w:rsidR="00581DA3" w:rsidRPr="00C14CF4" w:rsidRDefault="00581DA3" w:rsidP="0058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 w:eastAsia="sl-SI"/>
        </w:rPr>
      </w:pP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fldChar w:fldCharType="begin"/>
      </w: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instrText xml:space="preserve"> HYPERLINK "https://www.uradni-list.si/glasilo-uradni-list-rs/vsebina/2018-01-2095/odlok-o-dolocitvi-stroskov-lokacijske-preveritve-v-mestni-obcini-ljubljana/" \l "1.%C2%A0%C4%8Dlen" </w:instrText>
      </w: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fldChar w:fldCharType="separate"/>
      </w:r>
    </w:p>
    <w:p w:rsidR="00581DA3" w:rsidRPr="00C14CF4" w:rsidRDefault="00581DA3" w:rsidP="00A97306">
      <w:pPr>
        <w:jc w:val="center"/>
        <w:rPr>
          <w:rFonts w:ascii="Times New Roman" w:hAnsi="Times New Roman" w:cs="Times New Roman"/>
          <w:b/>
          <w:lang w:val="it-IT" w:eastAsia="sl-SI"/>
        </w:rPr>
      </w:pPr>
      <w:r w:rsidRPr="00C14CF4">
        <w:rPr>
          <w:lang w:val="it-IT" w:eastAsia="sl-SI"/>
        </w:rPr>
        <w:fldChar w:fldCharType="end"/>
      </w:r>
      <w:r w:rsidR="00A97306" w:rsidRPr="00C14CF4">
        <w:rPr>
          <w:rFonts w:ascii="Times New Roman" w:hAnsi="Times New Roman" w:cs="Times New Roman"/>
          <w:b/>
          <w:lang w:val="it-IT" w:eastAsia="sl-SI"/>
        </w:rPr>
        <w:t>Articolo 1</w:t>
      </w:r>
    </w:p>
    <w:p w:rsidR="00581DA3" w:rsidRPr="00C14CF4" w:rsidRDefault="00581DA3" w:rsidP="00581DA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it-IT" w:eastAsia="sl-SI"/>
        </w:rPr>
      </w:pPr>
      <w:r w:rsidRPr="00C14CF4">
        <w:rPr>
          <w:rFonts w:ascii="Times New Roman" w:hAnsi="Times New Roman" w:cs="Times New Roman"/>
          <w:sz w:val="24"/>
          <w:szCs w:val="24"/>
          <w:lang w:val="it-IT" w:eastAsia="sl-SI"/>
        </w:rPr>
        <w:t>(</w:t>
      </w:r>
      <w:r w:rsidR="00A97306" w:rsidRPr="00C14CF4">
        <w:rPr>
          <w:rFonts w:ascii="Times New Roman" w:hAnsi="Times New Roman" w:cs="Times New Roman"/>
          <w:sz w:val="24"/>
          <w:szCs w:val="24"/>
          <w:lang w:val="it-IT" w:eastAsia="sl-SI"/>
        </w:rPr>
        <w:t>contenuto del decreto</w:t>
      </w:r>
      <w:r w:rsidRPr="00C14CF4">
        <w:rPr>
          <w:rFonts w:ascii="Times New Roman" w:hAnsi="Times New Roman" w:cs="Times New Roman"/>
          <w:sz w:val="24"/>
          <w:szCs w:val="24"/>
          <w:lang w:val="it-IT" w:eastAsia="sl-SI"/>
        </w:rPr>
        <w:t>)</w:t>
      </w:r>
    </w:p>
    <w:p w:rsidR="00581DA3" w:rsidRPr="00C14CF4" w:rsidRDefault="00581DA3" w:rsidP="0058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81DA3" w:rsidRPr="00C14CF4" w:rsidRDefault="00A97306" w:rsidP="00581DA3">
      <w:pPr>
        <w:shd w:val="clear" w:color="auto" w:fill="FFFFFF"/>
        <w:spacing w:after="120" w:line="24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decreto determina l'ammontare delle spese della revisione ubicativa, commisurate dal Comune di Isola all</w:t>
      </w:r>
      <w:r w:rsidR="00921C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'investitore </w:t>
      </w:r>
      <w:proofErr w:type="spellStart"/>
      <w:r w:rsidR="00921C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ovv</w:t>
      </w:r>
      <w:proofErr w:type="spellEnd"/>
      <w:r w:rsidR="00921C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all'offerente</w:t>
      </w: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="00921CF1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quale indennizzo delle spese insorte nel procedimento della revisione ubicativa in base alla mozione dell'investitore per la stessa</w:t>
      </w:r>
      <w:r w:rsidR="00921C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tranne nel caso in cui l'investitore </w:t>
      </w:r>
      <w:proofErr w:type="spellStart"/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ovv</w:t>
      </w:r>
      <w:proofErr w:type="spellEnd"/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l'offerente sia il Comu</w:t>
      </w:r>
      <w:r w:rsidR="00921C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ne di Isola o un ente pubblico.</w:t>
      </w:r>
    </w:p>
    <w:p w:rsidR="00581DA3" w:rsidRPr="00C14CF4" w:rsidRDefault="00A97306" w:rsidP="00A9730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t-IT" w:eastAsia="sl-SI"/>
        </w:rPr>
      </w:pPr>
      <w:r w:rsidRPr="00C14CF4">
        <w:rPr>
          <w:rFonts w:ascii="Times New Roman" w:hAnsi="Times New Roman" w:cs="Times New Roman"/>
          <w:b/>
          <w:sz w:val="24"/>
          <w:szCs w:val="24"/>
          <w:lang w:val="it-IT" w:eastAsia="sl-SI"/>
        </w:rPr>
        <w:t>Articolo 2</w:t>
      </w:r>
    </w:p>
    <w:p w:rsidR="00581DA3" w:rsidRPr="00C14CF4" w:rsidRDefault="00581DA3" w:rsidP="00581DA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it-IT" w:eastAsia="sl-SI"/>
        </w:rPr>
      </w:pPr>
      <w:r w:rsidRPr="00C14CF4">
        <w:rPr>
          <w:rFonts w:ascii="Times New Roman" w:hAnsi="Times New Roman" w:cs="Times New Roman"/>
          <w:sz w:val="24"/>
          <w:szCs w:val="24"/>
          <w:lang w:val="it-IT" w:eastAsia="sl-SI"/>
        </w:rPr>
        <w:t>(</w:t>
      </w:r>
      <w:r w:rsidR="00A97306" w:rsidRPr="00C14CF4">
        <w:rPr>
          <w:rFonts w:ascii="Times New Roman" w:hAnsi="Times New Roman" w:cs="Times New Roman"/>
          <w:sz w:val="24"/>
          <w:szCs w:val="24"/>
          <w:lang w:val="it-IT" w:eastAsia="sl-SI"/>
        </w:rPr>
        <w:t>ammontare delle spese</w:t>
      </w:r>
      <w:r w:rsidRPr="00C14CF4">
        <w:rPr>
          <w:rFonts w:ascii="Times New Roman" w:hAnsi="Times New Roman" w:cs="Times New Roman"/>
          <w:sz w:val="24"/>
          <w:szCs w:val="24"/>
          <w:lang w:val="it-IT" w:eastAsia="sl-SI"/>
        </w:rPr>
        <w:t>)</w:t>
      </w:r>
    </w:p>
    <w:p w:rsidR="00581DA3" w:rsidRPr="00C14CF4" w:rsidRDefault="00581DA3" w:rsidP="0058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81DA3" w:rsidRPr="00C14CF4" w:rsidRDefault="00A97306" w:rsidP="00581DA3">
      <w:pPr>
        <w:pStyle w:val="Odstavekseznama"/>
        <w:numPr>
          <w:ilvl w:val="0"/>
          <w:numId w:val="1"/>
        </w:num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L'indennizzo delle spese per la singola revisione ubicativa ammonta a</w:t>
      </w:r>
      <w:r w:rsidR="00581DA3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581DA3" w:rsidRPr="00C14CF4" w:rsidRDefault="00581DA3" w:rsidP="00581DA3">
      <w:pPr>
        <w:shd w:val="clear" w:color="auto" w:fill="FFFFFF"/>
        <w:spacing w:after="120" w:line="240" w:lineRule="auto"/>
        <w:ind w:left="426" w:firstLine="33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– </w:t>
      </w:r>
      <w:r w:rsidR="00A97306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per l'armonizzazione e la determinazione della forma e della grandezza esatte dell'area dei </w:t>
      </w:r>
      <w:r w:rsidR="0093414A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terreni fabbricabili per singolo popolamento </w:t>
      </w:r>
      <w:r w:rsidR="008874C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per l’edificazione</w:t>
      </w:r>
      <w:bookmarkStart w:id="0" w:name="_GoBack"/>
      <w:bookmarkEnd w:id="0"/>
      <w:r w:rsidR="00921C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  <w:r w:rsidR="0093414A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1500 euro</w:t>
      </w: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581DA3" w:rsidRPr="00C14CF4" w:rsidRDefault="00581DA3" w:rsidP="00581DA3">
      <w:pPr>
        <w:shd w:val="clear" w:color="auto" w:fill="FFFFFF"/>
        <w:spacing w:after="120" w:line="240" w:lineRule="auto"/>
        <w:ind w:left="426" w:firstLine="33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– </w:t>
      </w:r>
      <w:r w:rsidR="003D2996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per singolo distaccamento dalle norme tecniche di attuazione per raggiungere lo scopo di edificazione dell'atto</w:t>
      </w:r>
      <w:r w:rsidR="00820E17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urbanistico esecutivo</w:t>
      </w:r>
      <w:r w:rsidR="00921C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  <w:r w:rsidR="003D2996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2500 euro</w:t>
      </w: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581DA3" w:rsidRPr="00C14CF4" w:rsidRDefault="00581DA3" w:rsidP="00581DA3">
      <w:pPr>
        <w:shd w:val="clear" w:color="auto" w:fill="FFFFFF"/>
        <w:spacing w:after="120" w:line="240" w:lineRule="auto"/>
        <w:ind w:left="426" w:firstLine="33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– </w:t>
      </w:r>
      <w:r w:rsidR="00820E17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per rendere possibile l'utilizzo temporaneo del territorio allo scopo di utilizzo sensato e di attivazione dei terreni e degli stabili non in utilizzo</w:t>
      </w:r>
      <w:r w:rsidR="00921C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  <w:r w:rsidR="00820E17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2000 euro</w:t>
      </w: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581DA3" w:rsidRPr="00C14CF4" w:rsidRDefault="00820E17" w:rsidP="00581DA3">
      <w:pPr>
        <w:pStyle w:val="Odstavekseznama"/>
        <w:numPr>
          <w:ilvl w:val="0"/>
          <w:numId w:val="1"/>
        </w:num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contribuente al pagamento delle spese di revisione ubicativa è l'investitore </w:t>
      </w:r>
      <w:proofErr w:type="spellStart"/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ovv</w:t>
      </w:r>
      <w:proofErr w:type="spellEnd"/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l'offerente</w:t>
      </w:r>
      <w:r w:rsidR="00581DA3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581DA3" w:rsidRPr="00C14CF4" w:rsidRDefault="00581DA3" w:rsidP="00581DA3">
      <w:pPr>
        <w:pStyle w:val="Odstavekseznama"/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81DA3" w:rsidRPr="00C14CF4" w:rsidRDefault="00820E17" w:rsidP="00820E1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t-IT" w:eastAsia="sl-SI"/>
        </w:rPr>
      </w:pPr>
      <w:r w:rsidRPr="00C14CF4">
        <w:rPr>
          <w:rFonts w:ascii="Times New Roman" w:hAnsi="Times New Roman" w:cs="Times New Roman"/>
          <w:b/>
          <w:sz w:val="24"/>
          <w:szCs w:val="24"/>
          <w:lang w:val="it-IT" w:eastAsia="sl-SI"/>
        </w:rPr>
        <w:t>Articolo 3</w:t>
      </w:r>
    </w:p>
    <w:p w:rsidR="00581DA3" w:rsidRPr="00C14CF4" w:rsidRDefault="00581DA3" w:rsidP="00581DA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it-IT" w:eastAsia="sl-SI"/>
        </w:rPr>
      </w:pPr>
      <w:r w:rsidRPr="00C14CF4">
        <w:rPr>
          <w:rFonts w:ascii="Times New Roman" w:hAnsi="Times New Roman" w:cs="Times New Roman"/>
          <w:sz w:val="24"/>
          <w:szCs w:val="24"/>
          <w:lang w:val="it-IT" w:eastAsia="sl-SI"/>
        </w:rPr>
        <w:t>(</w:t>
      </w:r>
      <w:r w:rsidR="00820E17" w:rsidRPr="00C14CF4">
        <w:rPr>
          <w:rFonts w:ascii="Times New Roman" w:hAnsi="Times New Roman" w:cs="Times New Roman"/>
          <w:sz w:val="24"/>
          <w:szCs w:val="24"/>
          <w:lang w:val="it-IT" w:eastAsia="sl-SI"/>
        </w:rPr>
        <w:t>modalità di pagamento dell'indennizzo spese</w:t>
      </w:r>
      <w:r w:rsidRPr="00C14CF4">
        <w:rPr>
          <w:rFonts w:ascii="Times New Roman" w:hAnsi="Times New Roman" w:cs="Times New Roman"/>
          <w:sz w:val="24"/>
          <w:szCs w:val="24"/>
          <w:lang w:val="it-IT" w:eastAsia="sl-SI"/>
        </w:rPr>
        <w:t>)</w:t>
      </w:r>
    </w:p>
    <w:p w:rsidR="00581DA3" w:rsidRPr="00C14CF4" w:rsidRDefault="00581DA3" w:rsidP="0058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581DA3" w:rsidRPr="00C14CF4" w:rsidRDefault="00C20516" w:rsidP="00581DA3">
      <w:pPr>
        <w:pStyle w:val="Odstavekseznama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L'investitore </w:t>
      </w:r>
      <w:proofErr w:type="spellStart"/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ovv</w:t>
      </w:r>
      <w:proofErr w:type="spellEnd"/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l'offerente presenta la mozione di attuazione della revisione ubicativa e allega l'elaborato di revisione ubicativa (nel testo a seguire: elaborato). Il Comune controlla l'idoneità della mozione e la conformità dell'elaborato alle disposizioni della Legge sull'assetto del territorio</w:t>
      </w:r>
      <w:r w:rsidR="00581DA3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</w:t>
      </w:r>
    </w:p>
    <w:p w:rsidR="00581DA3" w:rsidRPr="00C14CF4" w:rsidRDefault="00EE6600" w:rsidP="00581DA3">
      <w:pPr>
        <w:pStyle w:val="Odstavekseznama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Comune di Isola r</w:t>
      </w:r>
      <w:r w:rsidR="00AB625E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ilascia all'investitore </w:t>
      </w:r>
      <w:proofErr w:type="spellStart"/>
      <w:r w:rsidR="00AB625E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ovv</w:t>
      </w:r>
      <w:proofErr w:type="spellEnd"/>
      <w:r w:rsidR="00AB625E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all</w:t>
      </w: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'</w:t>
      </w:r>
      <w:r w:rsidR="00AB625E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offerente</w:t>
      </w: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la delibera sul pagamento dell'indennizzo delle spese di revisione ubicativa. L'obbligo di pagamento dell'indennizzo delle spese di revisione ubicativa insorge nel momento in cui l'investitore </w:t>
      </w:r>
      <w:proofErr w:type="spellStart"/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ovv</w:t>
      </w:r>
      <w:proofErr w:type="spellEnd"/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l'offerente riceve la delibera di pagamento</w:t>
      </w:r>
      <w:r w:rsidR="00581DA3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581DA3" w:rsidRPr="00C14CF4" w:rsidRDefault="00EE6600" w:rsidP="00581DA3">
      <w:pPr>
        <w:pStyle w:val="Odstavekseznama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lastRenderedPageBreak/>
        <w:t xml:space="preserve">In conformità alla delibera di pagamento l'investitore </w:t>
      </w:r>
      <w:proofErr w:type="spellStart"/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ovv</w:t>
      </w:r>
      <w:proofErr w:type="spellEnd"/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l'offerente è tenuto a corrispondere l'ammontare stabilito delle spese di revisione ubicativa come stabilito nel decreto, e cioè la metà (il 50%) entro gli otto (8) giorni dal recapito della delibera, la rimanente metà (il 50%) invece entro gli otto (8) giorni dall'inizio dell'esposizione al pubblico</w:t>
      </w:r>
      <w:r w:rsidR="00581DA3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581DA3" w:rsidRPr="00C14CF4" w:rsidRDefault="00547157" w:rsidP="00581DA3">
      <w:pPr>
        <w:pStyle w:val="Odstavekseznama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 w:eastAsia="sl-SI"/>
        </w:rPr>
      </w:pP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pagamento di metà della somma (il 50%) dell'indennizzo delle spese di revisione ubicativa è la condizione per l'esame dell'elaborato, la rimanente metà (il 50%) invece per l'esame della revisione ubicativa in seno alla seduta del Consiglio comunale e il rilascio della delibera sulla revisione ubicativa</w:t>
      </w:r>
      <w:r w:rsidR="00581DA3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</w:t>
      </w:r>
    </w:p>
    <w:p w:rsidR="00581DA3" w:rsidRPr="00C14CF4" w:rsidRDefault="00581DA3" w:rsidP="00581DA3">
      <w:pPr>
        <w:pStyle w:val="Odstavekseznama"/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81DA3" w:rsidRPr="00C14CF4" w:rsidRDefault="00547157" w:rsidP="0054715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t-IT" w:eastAsia="sl-SI"/>
        </w:rPr>
      </w:pPr>
      <w:r w:rsidRPr="00C14CF4">
        <w:rPr>
          <w:rFonts w:ascii="Times New Roman" w:hAnsi="Times New Roman" w:cs="Times New Roman"/>
          <w:b/>
          <w:sz w:val="24"/>
          <w:szCs w:val="24"/>
          <w:lang w:val="it-IT" w:eastAsia="sl-SI"/>
        </w:rPr>
        <w:t>Articolo 4</w:t>
      </w:r>
    </w:p>
    <w:p w:rsidR="00581DA3" w:rsidRPr="00C14CF4" w:rsidRDefault="00581DA3" w:rsidP="00581DA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it-IT" w:eastAsia="sl-SI"/>
        </w:rPr>
      </w:pPr>
      <w:r w:rsidRPr="00C14CF4">
        <w:rPr>
          <w:rFonts w:ascii="Times New Roman" w:hAnsi="Times New Roman" w:cs="Times New Roman"/>
          <w:sz w:val="24"/>
          <w:szCs w:val="24"/>
          <w:lang w:val="it-IT" w:eastAsia="sl-SI"/>
        </w:rPr>
        <w:t>(p</w:t>
      </w:r>
      <w:r w:rsidR="00547157" w:rsidRPr="00C14CF4">
        <w:rPr>
          <w:rFonts w:ascii="Times New Roman" w:hAnsi="Times New Roman" w:cs="Times New Roman"/>
          <w:sz w:val="24"/>
          <w:szCs w:val="24"/>
          <w:lang w:val="it-IT" w:eastAsia="sl-SI"/>
        </w:rPr>
        <w:t>rocedimento ed approvazione della revisione ubicativa</w:t>
      </w:r>
      <w:r w:rsidRPr="00C14CF4">
        <w:rPr>
          <w:rFonts w:ascii="Times New Roman" w:hAnsi="Times New Roman" w:cs="Times New Roman"/>
          <w:sz w:val="24"/>
          <w:szCs w:val="24"/>
          <w:lang w:val="it-IT" w:eastAsia="sl-SI"/>
        </w:rPr>
        <w:t>)</w:t>
      </w:r>
    </w:p>
    <w:p w:rsidR="00581DA3" w:rsidRPr="00C14CF4" w:rsidRDefault="00581DA3" w:rsidP="0058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81DA3" w:rsidRPr="00C14CF4" w:rsidRDefault="00C14CF4" w:rsidP="00581DA3">
      <w:pPr>
        <w:pStyle w:val="Odstavekseznama"/>
        <w:numPr>
          <w:ilvl w:val="0"/>
          <w:numId w:val="3"/>
        </w:num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L'approvazione della revisione ubicativa compete al Consiglio comunale, per questo motivo il pagamento dell'indennizzo delle spese garantisce l'attuazione del procedimento, ma non anche l'</w:t>
      </w:r>
      <w:r w:rsidR="00AB625E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approvazione</w:t>
      </w:r>
      <w:r w:rsidR="00581DA3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</w:t>
      </w:r>
    </w:p>
    <w:p w:rsidR="00581DA3" w:rsidRPr="00C14CF4" w:rsidRDefault="00C14CF4" w:rsidP="00581DA3">
      <w:pPr>
        <w:pStyle w:val="Odstavekseznama"/>
        <w:numPr>
          <w:ilvl w:val="0"/>
          <w:numId w:val="3"/>
        </w:num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In caso di annullamento del procedimento o della richiesta, l'offerente non ha diritto al rimborso della somma già pagata di indennizzo delle spese di revisione ubicativa</w:t>
      </w:r>
      <w:r w:rsidR="00581DA3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</w:t>
      </w:r>
    </w:p>
    <w:p w:rsidR="00581DA3" w:rsidRPr="00C14CF4" w:rsidRDefault="00581DA3" w:rsidP="0058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81DA3" w:rsidRPr="00C14CF4" w:rsidRDefault="00C14CF4" w:rsidP="00C14CF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t-IT" w:eastAsia="sl-SI"/>
        </w:rPr>
      </w:pPr>
      <w:r w:rsidRPr="00C14CF4">
        <w:rPr>
          <w:rFonts w:ascii="Times New Roman" w:hAnsi="Times New Roman" w:cs="Times New Roman"/>
          <w:b/>
          <w:sz w:val="24"/>
          <w:szCs w:val="24"/>
          <w:lang w:val="it-IT" w:eastAsia="sl-SI"/>
        </w:rPr>
        <w:t>Articolo 5</w:t>
      </w:r>
    </w:p>
    <w:p w:rsidR="00581DA3" w:rsidRPr="00C14CF4" w:rsidRDefault="00581DA3" w:rsidP="00581DA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it-IT" w:eastAsia="sl-SI"/>
        </w:rPr>
      </w:pPr>
      <w:r w:rsidRPr="00C14CF4">
        <w:rPr>
          <w:rFonts w:ascii="Times New Roman" w:hAnsi="Times New Roman" w:cs="Times New Roman"/>
          <w:sz w:val="24"/>
          <w:szCs w:val="24"/>
          <w:lang w:val="it-IT" w:eastAsia="sl-SI"/>
        </w:rPr>
        <w:t>(</w:t>
      </w:r>
      <w:r w:rsidR="00C14CF4" w:rsidRPr="00C14CF4">
        <w:rPr>
          <w:rFonts w:ascii="Times New Roman" w:hAnsi="Times New Roman" w:cs="Times New Roman"/>
          <w:sz w:val="24"/>
          <w:szCs w:val="24"/>
          <w:lang w:val="it-IT" w:eastAsia="sl-SI"/>
        </w:rPr>
        <w:t>entrata in vigore</w:t>
      </w:r>
      <w:r w:rsidRPr="00C14CF4">
        <w:rPr>
          <w:rFonts w:ascii="Times New Roman" w:hAnsi="Times New Roman" w:cs="Times New Roman"/>
          <w:sz w:val="24"/>
          <w:szCs w:val="24"/>
          <w:lang w:val="it-IT" w:eastAsia="sl-SI"/>
        </w:rPr>
        <w:t>)</w:t>
      </w:r>
    </w:p>
    <w:p w:rsidR="00581DA3" w:rsidRPr="00C14CF4" w:rsidRDefault="00581DA3" w:rsidP="00581DA3">
      <w:pPr>
        <w:pStyle w:val="Odstavekseznama"/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81DA3" w:rsidRPr="00C14CF4" w:rsidRDefault="00C14CF4" w:rsidP="00581DA3">
      <w:pPr>
        <w:pStyle w:val="Odstavekseznama"/>
        <w:numPr>
          <w:ilvl w:val="0"/>
          <w:numId w:val="5"/>
        </w:num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decreto si pubblica nel Bollettino Ufficiale del Comune di Isola ed entra in vigore il giorno successivo alla sua pubblicazione</w:t>
      </w:r>
      <w:r w:rsidR="00581DA3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581DA3" w:rsidRPr="00C14CF4" w:rsidRDefault="00C14CF4" w:rsidP="00581DA3">
      <w:pPr>
        <w:pStyle w:val="Odstavekseznama"/>
        <w:numPr>
          <w:ilvl w:val="0"/>
          <w:numId w:val="5"/>
        </w:num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La decisione di cui al primo alinea del secondo comma dell'articolo 2 si utilizza a decorrere dall'entrata in vigore del piano territoriale comunale del Comune di Isola</w:t>
      </w:r>
      <w:r w:rsidR="00581DA3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</w:t>
      </w:r>
    </w:p>
    <w:p w:rsidR="00581DA3" w:rsidRPr="00C14CF4" w:rsidRDefault="00581DA3" w:rsidP="00581DA3">
      <w:pPr>
        <w:pStyle w:val="Odstavekseznama"/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it-IT" w:eastAsia="sl-SI"/>
        </w:rPr>
      </w:pPr>
    </w:p>
    <w:p w:rsidR="00581DA3" w:rsidRPr="00C14CF4" w:rsidRDefault="00581DA3" w:rsidP="00581DA3">
      <w:pPr>
        <w:pStyle w:val="Odstavekseznama"/>
        <w:shd w:val="clear" w:color="auto" w:fill="FFFFFF"/>
        <w:spacing w:after="12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81DA3" w:rsidRPr="00C14CF4" w:rsidRDefault="00C14CF4" w:rsidP="00581DA3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</w:t>
      </w:r>
      <w:r w:rsidR="00581DA3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3501-31/2019</w:t>
      </w:r>
    </w:p>
    <w:p w:rsidR="00581DA3" w:rsidRPr="00C14CF4" w:rsidRDefault="00C14CF4" w:rsidP="00581DA3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="00581DA3" w:rsidRPr="00C14C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______________</w:t>
      </w:r>
    </w:p>
    <w:p w:rsidR="00581DA3" w:rsidRPr="00C14CF4" w:rsidRDefault="00581DA3" w:rsidP="00581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3440"/>
      </w:tblGrid>
      <w:tr w:rsidR="00581DA3" w:rsidRPr="00C14CF4" w:rsidTr="00AB5212">
        <w:tc>
          <w:tcPr>
            <w:tcW w:w="2303" w:type="dxa"/>
            <w:shd w:val="clear" w:color="auto" w:fill="auto"/>
          </w:tcPr>
          <w:p w:rsidR="00581DA3" w:rsidRPr="00C14CF4" w:rsidRDefault="00581DA3" w:rsidP="00AB5212">
            <w:pPr>
              <w:spacing w:after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03" w:type="dxa"/>
            <w:shd w:val="clear" w:color="auto" w:fill="auto"/>
          </w:tcPr>
          <w:p w:rsidR="00581DA3" w:rsidRPr="00C14CF4" w:rsidRDefault="00581DA3" w:rsidP="00AB5212">
            <w:pPr>
              <w:spacing w:after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40" w:type="dxa"/>
            <w:shd w:val="clear" w:color="auto" w:fill="auto"/>
          </w:tcPr>
          <w:p w:rsidR="00581DA3" w:rsidRPr="00C14CF4" w:rsidRDefault="00581DA3" w:rsidP="00AB5212">
            <w:pPr>
              <w:spacing w:after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:rsidR="00581DA3" w:rsidRPr="00C14CF4" w:rsidRDefault="00581DA3" w:rsidP="00AB5212">
            <w:pPr>
              <w:spacing w:after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C14CF4">
              <w:rPr>
                <w:rFonts w:ascii="Times New Roman" w:hAnsi="Times New Roman" w:cs="Times New Roman"/>
                <w:b/>
                <w:lang w:val="it-IT"/>
              </w:rPr>
              <w:t>Danilo MARKOČIČ</w:t>
            </w:r>
          </w:p>
          <w:p w:rsidR="00581DA3" w:rsidRPr="00C14CF4" w:rsidRDefault="00C14CF4" w:rsidP="00C14CF4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C14CF4">
              <w:rPr>
                <w:rFonts w:ascii="Times New Roman" w:hAnsi="Times New Roman" w:cs="Times New Roman"/>
                <w:lang w:val="it-IT"/>
              </w:rPr>
              <w:t>I l  S i n d a c o</w:t>
            </w:r>
          </w:p>
        </w:tc>
      </w:tr>
    </w:tbl>
    <w:p w:rsidR="00581DA3" w:rsidRPr="00FC3184" w:rsidRDefault="00581DA3" w:rsidP="00581D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"/>
        <w:gridCol w:w="8030"/>
      </w:tblGrid>
      <w:tr w:rsidR="00581DA3" w:rsidRPr="00861074" w:rsidTr="00AB5212">
        <w:tc>
          <w:tcPr>
            <w:tcW w:w="1056" w:type="dxa"/>
          </w:tcPr>
          <w:p w:rsidR="00581DA3" w:rsidRPr="00861074" w:rsidRDefault="00581DA3" w:rsidP="00AB52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8" w:type="dxa"/>
          </w:tcPr>
          <w:p w:rsidR="00581DA3" w:rsidRPr="00861074" w:rsidRDefault="00581DA3" w:rsidP="00AB5212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581DA3" w:rsidRPr="00861074" w:rsidTr="00AB5212">
        <w:tc>
          <w:tcPr>
            <w:tcW w:w="1056" w:type="dxa"/>
          </w:tcPr>
          <w:p w:rsidR="00581DA3" w:rsidRPr="00861074" w:rsidRDefault="00581DA3" w:rsidP="00AB52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8" w:type="dxa"/>
          </w:tcPr>
          <w:p w:rsidR="00581DA3" w:rsidRPr="00861074" w:rsidRDefault="00581DA3" w:rsidP="00AB5212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581DA3" w:rsidRPr="00631FB0" w:rsidRDefault="00581DA3" w:rsidP="00581DA3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7F0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A61007" w:rsidRDefault="00A61007"/>
    <w:sectPr w:rsidR="00A610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6A38">
      <w:pPr>
        <w:spacing w:after="0" w:line="240" w:lineRule="auto"/>
      </w:pPr>
      <w:r>
        <w:separator/>
      </w:r>
    </w:p>
  </w:endnote>
  <w:endnote w:type="continuationSeparator" w:id="0">
    <w:p w:rsidR="00000000" w:rsidRDefault="0072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757728"/>
      <w:docPartObj>
        <w:docPartGallery w:val="Page Numbers (Bottom of Page)"/>
        <w:docPartUnique/>
      </w:docPartObj>
    </w:sdtPr>
    <w:sdtEndPr/>
    <w:sdtContent>
      <w:p w:rsidR="00827D67" w:rsidRDefault="003E1E7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A38">
          <w:rPr>
            <w:noProof/>
          </w:rPr>
          <w:t>2</w:t>
        </w:r>
        <w:r>
          <w:fldChar w:fldCharType="end"/>
        </w:r>
      </w:p>
    </w:sdtContent>
  </w:sdt>
  <w:p w:rsidR="00827D67" w:rsidRDefault="00726A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6A38">
      <w:pPr>
        <w:spacing w:after="0" w:line="240" w:lineRule="auto"/>
      </w:pPr>
      <w:r>
        <w:separator/>
      </w:r>
    </w:p>
  </w:footnote>
  <w:footnote w:type="continuationSeparator" w:id="0">
    <w:p w:rsidR="00000000" w:rsidRDefault="0072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7B"/>
    <w:multiLevelType w:val="hybridMultilevel"/>
    <w:tmpl w:val="D172AA5A"/>
    <w:lvl w:ilvl="0" w:tplc="9AAAF55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F65474A"/>
    <w:multiLevelType w:val="hybridMultilevel"/>
    <w:tmpl w:val="1EDE6A18"/>
    <w:lvl w:ilvl="0" w:tplc="87D0D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2FC7"/>
    <w:multiLevelType w:val="hybridMultilevel"/>
    <w:tmpl w:val="FA564FF8"/>
    <w:lvl w:ilvl="0" w:tplc="08D073B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4BB1790F"/>
    <w:multiLevelType w:val="hybridMultilevel"/>
    <w:tmpl w:val="725A6B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B0ECE"/>
    <w:multiLevelType w:val="hybridMultilevel"/>
    <w:tmpl w:val="D172AA5A"/>
    <w:lvl w:ilvl="0" w:tplc="9AAAF55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A3"/>
    <w:rsid w:val="003D2996"/>
    <w:rsid w:val="003E1E7E"/>
    <w:rsid w:val="00547157"/>
    <w:rsid w:val="00581DA3"/>
    <w:rsid w:val="00726A38"/>
    <w:rsid w:val="00820E17"/>
    <w:rsid w:val="008874CD"/>
    <w:rsid w:val="00921CF1"/>
    <w:rsid w:val="0093414A"/>
    <w:rsid w:val="00941A92"/>
    <w:rsid w:val="00A61007"/>
    <w:rsid w:val="00A97306"/>
    <w:rsid w:val="00AB625E"/>
    <w:rsid w:val="00BB6A04"/>
    <w:rsid w:val="00C14CF4"/>
    <w:rsid w:val="00C20516"/>
    <w:rsid w:val="00D07E93"/>
    <w:rsid w:val="00D95EC8"/>
    <w:rsid w:val="00E9509D"/>
    <w:rsid w:val="00E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590E"/>
  <w15:chartTrackingRefBased/>
  <w15:docId w15:val="{17DB6E99-8BD5-4554-8877-C1E2223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1D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1DA3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8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11</cp:revision>
  <dcterms:created xsi:type="dcterms:W3CDTF">2019-01-28T08:45:00Z</dcterms:created>
  <dcterms:modified xsi:type="dcterms:W3CDTF">2019-01-29T09:37:00Z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