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B3" w:rsidRPr="00DF7805" w:rsidRDefault="00DB4EB3" w:rsidP="00DB4EB3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val="it-IT" w:eastAsia="sl-SI"/>
        </w:rPr>
      </w:pPr>
      <w:r w:rsidRPr="00DF7805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     </w:t>
      </w:r>
      <w:r w:rsidRPr="00DF7805">
        <w:rPr>
          <w:rFonts w:ascii="Times New Roman" w:eastAsia="Times New Roman" w:hAnsi="Times New Roman"/>
          <w:sz w:val="20"/>
          <w:szCs w:val="20"/>
          <w:lang w:val="it-IT" w:eastAsia="sl-SI"/>
        </w:rPr>
        <w:t>Allegato</w:t>
      </w:r>
      <w:r w:rsidRPr="00DF7805">
        <w:rPr>
          <w:rFonts w:ascii="Times New Roman" w:eastAsia="Times New Roman" w:hAnsi="Times New Roman"/>
          <w:sz w:val="20"/>
          <w:szCs w:val="20"/>
          <w:lang w:val="it-IT" w:eastAsia="sl-SI"/>
        </w:rPr>
        <w:t xml:space="preserve">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B4EB3" w:rsidRPr="00DF7805" w:rsidTr="00DB4EB3">
        <w:tc>
          <w:tcPr>
            <w:tcW w:w="1056" w:type="dxa"/>
            <w:hideMark/>
          </w:tcPr>
          <w:p w:rsidR="00DB4EB3" w:rsidRPr="00DF7805" w:rsidRDefault="00DB4EB3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DF7805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671DC80F" wp14:editId="6CBC923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B4EB3" w:rsidRPr="00DF7805" w:rsidRDefault="00DB4EB3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 w:rsidRPr="00DF7805">
              <w:rPr>
                <w:rFonts w:ascii="Times New Roman" w:hAnsi="Times New Roman"/>
                <w:b/>
                <w:lang w:val="it-IT"/>
              </w:rPr>
              <w:t>OBČINA IZOLA – COMUNE DI ISOLA</w:t>
            </w:r>
            <w:r w:rsidRPr="00DF7805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</w:t>
            </w:r>
            <w:r w:rsidRPr="00DF7805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                                                    PRO</w:t>
            </w:r>
            <w:r w:rsidRPr="00DF7805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>POSTA</w:t>
            </w:r>
          </w:p>
          <w:p w:rsidR="00DB4EB3" w:rsidRPr="00DF7805" w:rsidRDefault="00DB4EB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DF7805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DB4EB3" w:rsidRPr="00DF7805" w:rsidRDefault="00DB4EB3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r w:rsidRPr="00DF7805">
              <w:rPr>
                <w:rFonts w:ascii="Times New Roman" w:hAnsi="Times New Roman"/>
                <w:i/>
                <w:iCs/>
                <w:lang w:val="it-IT"/>
              </w:rPr>
              <w:t xml:space="preserve">Sončno </w:t>
            </w:r>
            <w:proofErr w:type="spellStart"/>
            <w:r w:rsidRPr="00DF7805">
              <w:rPr>
                <w:rFonts w:ascii="Times New Roman" w:hAnsi="Times New Roman"/>
                <w:i/>
                <w:iCs/>
                <w:lang w:val="it-IT"/>
              </w:rPr>
              <w:t>nabrežje</w:t>
            </w:r>
            <w:proofErr w:type="spellEnd"/>
            <w:r w:rsidRPr="00DF7805">
              <w:rPr>
                <w:rFonts w:ascii="Times New Roman" w:hAnsi="Times New Roman"/>
                <w:i/>
                <w:iCs/>
                <w:lang w:val="it-IT"/>
              </w:rPr>
              <w:t xml:space="preserve"> 8 – Riva del Sole 8</w:t>
            </w:r>
          </w:p>
          <w:p w:rsidR="00DB4EB3" w:rsidRPr="00DF7805" w:rsidRDefault="00DB4EB3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r w:rsidRPr="00DF7805">
              <w:rPr>
                <w:rFonts w:ascii="Times New Roman" w:hAnsi="Times New Roman"/>
                <w:i/>
                <w:iCs/>
                <w:lang w:val="it-IT"/>
              </w:rPr>
              <w:t xml:space="preserve">6310 </w:t>
            </w:r>
            <w:proofErr w:type="spellStart"/>
            <w:r w:rsidRPr="00DF7805">
              <w:rPr>
                <w:rFonts w:ascii="Times New Roman" w:hAnsi="Times New Roman"/>
                <w:i/>
                <w:iCs/>
                <w:lang w:val="it-IT"/>
              </w:rPr>
              <w:t>Izola</w:t>
            </w:r>
            <w:proofErr w:type="spellEnd"/>
            <w:r w:rsidRPr="00DF7805">
              <w:rPr>
                <w:rFonts w:ascii="Times New Roman" w:hAnsi="Times New Roman"/>
                <w:i/>
                <w:iCs/>
                <w:lang w:val="it-IT"/>
              </w:rPr>
              <w:t xml:space="preserve"> – Isola</w:t>
            </w:r>
          </w:p>
          <w:p w:rsidR="00DB4EB3" w:rsidRPr="00DF7805" w:rsidRDefault="00DB4EB3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proofErr w:type="spellStart"/>
            <w:r w:rsidRPr="00DF7805">
              <w:rPr>
                <w:rFonts w:ascii="Times New Roman" w:hAnsi="Times New Roman"/>
                <w:i/>
                <w:iCs/>
                <w:lang w:val="it-IT"/>
              </w:rPr>
              <w:t>Tel</w:t>
            </w:r>
            <w:proofErr w:type="spellEnd"/>
            <w:r w:rsidRPr="00DF7805">
              <w:rPr>
                <w:rFonts w:ascii="Times New Roman" w:hAnsi="Times New Roman"/>
                <w:i/>
                <w:iCs/>
                <w:lang w:val="it-IT"/>
              </w:rPr>
              <w:t>: 05 66 00 100, Fax: 05 66 00 110</w:t>
            </w:r>
          </w:p>
          <w:p w:rsidR="00DB4EB3" w:rsidRPr="00DF7805" w:rsidRDefault="00DB4EB3">
            <w:pPr>
              <w:spacing w:after="0" w:line="240" w:lineRule="auto"/>
              <w:rPr>
                <w:rFonts w:ascii="Times New Roman" w:hAnsi="Times New Roman"/>
                <w:i/>
                <w:iCs/>
                <w:lang w:val="it-IT"/>
              </w:rPr>
            </w:pPr>
            <w:r w:rsidRPr="00DF7805">
              <w:rPr>
                <w:rFonts w:ascii="Times New Roman" w:hAnsi="Times New Roman"/>
                <w:i/>
                <w:iCs/>
                <w:lang w:val="it-IT"/>
              </w:rPr>
              <w:t xml:space="preserve">E-mail: </w:t>
            </w:r>
            <w:hyperlink r:id="rId5" w:history="1">
              <w:r w:rsidRPr="00DF7805">
                <w:rPr>
                  <w:rStyle w:val="Hiperpovezava"/>
                  <w:rFonts w:ascii="Times New Roman" w:hAnsi="Times New Roman"/>
                  <w:i/>
                  <w:iCs/>
                  <w:lang w:val="it-IT"/>
                </w:rPr>
                <w:t>posta.oizola@izola.si</w:t>
              </w:r>
            </w:hyperlink>
          </w:p>
          <w:p w:rsidR="00DB4EB3" w:rsidRPr="00DF7805" w:rsidRDefault="00DB4EB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it-IT"/>
              </w:rPr>
            </w:pPr>
            <w:r w:rsidRPr="00DF7805">
              <w:rPr>
                <w:rFonts w:ascii="Times New Roman" w:hAnsi="Times New Roman"/>
                <w:i/>
                <w:iCs/>
                <w:lang w:val="it-IT"/>
              </w:rPr>
              <w:t xml:space="preserve">Web: </w:t>
            </w:r>
            <w:hyperlink r:id="rId6" w:history="1">
              <w:r w:rsidRPr="00DF7805">
                <w:rPr>
                  <w:rStyle w:val="Hiperpovezava"/>
                  <w:rFonts w:ascii="Times New Roman" w:hAnsi="Times New Roman"/>
                  <w:i/>
                  <w:iCs/>
                  <w:lang w:val="it-IT"/>
                </w:rPr>
                <w:t>http://www.izola.si/</w:t>
              </w:r>
            </w:hyperlink>
          </w:p>
        </w:tc>
      </w:tr>
    </w:tbl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F7805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DF7805">
        <w:rPr>
          <w:rFonts w:ascii="Times New Roman" w:hAnsi="Times New Roman"/>
          <w:sz w:val="24"/>
          <w:szCs w:val="24"/>
          <w:lang w:val="it-IT"/>
        </w:rPr>
        <w:t>. n.</w:t>
      </w:r>
      <w:r w:rsidRPr="00DF7805">
        <w:rPr>
          <w:rFonts w:ascii="Times New Roman" w:hAnsi="Times New Roman"/>
          <w:sz w:val="24"/>
          <w:szCs w:val="24"/>
          <w:lang w:val="it-IT"/>
        </w:rPr>
        <w:t>: 373-1/2014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Data</w:t>
      </w:r>
      <w:r w:rsidRPr="00DF7805">
        <w:rPr>
          <w:rFonts w:ascii="Times New Roman" w:hAnsi="Times New Roman"/>
          <w:sz w:val="24"/>
          <w:szCs w:val="24"/>
          <w:lang w:val="it-IT"/>
        </w:rPr>
        <w:t>: 07. 06. 2019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DF7805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DF7805">
        <w:rPr>
          <w:rFonts w:ascii="Times New Roman" w:hAnsi="Times New Roman"/>
          <w:sz w:val="24"/>
          <w:szCs w:val="24"/>
          <w:lang w:val="it-IT"/>
        </w:rPr>
        <w:t>.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7" w:tgtFrame="_blank" w:tooltip="Zakon o lokalni samoupravi (uradno prečiščeno besedilo)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94/07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>testo unico ufficiale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8" w:tgtFrame="_blank" w:tooltip="Zakon o dopolnitvi Zakona o lokalni samoupravi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76/08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9" w:tgtFrame="_blank" w:tooltip="Zakon o spremembah in dopolnitvah Zakona o lokalni samoupravi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79/09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0" w:tgtFrame="_blank" w:tooltip="Zakon o spremembah in dopolnitvah Zakona o lokalni samoupravi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51/10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1" w:tgtFrame="_blank" w:tooltip="Zakon za uravnoteženje javnih financ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40/12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ZUJF, </w:t>
      </w:r>
      <w:hyperlink r:id="rId12" w:tgtFrame="_blank" w:tooltip="Zakon o ukrepih za uravnoteženje javnih financ občin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14/15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ZUUJFO, </w:t>
      </w:r>
      <w:hyperlink r:id="rId13" w:tgtFrame="_blank" w:tooltip="Zakon o stvarnem premoženju države in samoupravnih lokalnih skupnosti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11/18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ZSPDSLS-1 </w:t>
      </w:r>
      <w:r w:rsidRPr="00DF7805">
        <w:rPr>
          <w:rFonts w:ascii="Times New Roman" w:hAnsi="Times New Roman"/>
          <w:sz w:val="24"/>
          <w:szCs w:val="24"/>
          <w:lang w:val="it-IT"/>
        </w:rPr>
        <w:t>e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4" w:tgtFrame="_blank" w:tooltip="Zakon o spremembah in dopolnitvah Zakona o lokalni samoupravi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30/18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),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dell'articolo </w:t>
      </w:r>
      <w:r w:rsidRPr="00DF7805">
        <w:rPr>
          <w:rFonts w:ascii="Times New Roman" w:hAnsi="Times New Roman"/>
          <w:sz w:val="24"/>
          <w:szCs w:val="24"/>
          <w:lang w:val="it-IT"/>
        </w:rPr>
        <w:t>32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del Codice marittimo (Gazzetta Ufficiale della RS </w:t>
      </w:r>
      <w:proofErr w:type="spellStart"/>
      <w:r w:rsidRPr="00DF7805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DF7805">
        <w:rPr>
          <w:rFonts w:ascii="Times New Roman" w:hAnsi="Times New Roman"/>
          <w:sz w:val="24"/>
          <w:szCs w:val="24"/>
          <w:lang w:val="it-IT"/>
        </w:rPr>
        <w:t>.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5" w:tgtFrame="_blank" w:tooltip="Pomorski zakonik (uradno prečiščeno besedilo)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62/16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>testo unico ufficiale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6" w:tgtFrame="_blank" w:tooltip="Zakon o spremembah in dopolnitvah Pomorskega zakonika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41/17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17" w:tgtFrame="_blank" w:tooltip="Zakon o nevladnih organizacijah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21/18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proofErr w:type="spellStart"/>
      <w:r w:rsidRPr="00DF7805">
        <w:rPr>
          <w:rFonts w:ascii="Times New Roman" w:hAnsi="Times New Roman"/>
          <w:sz w:val="24"/>
          <w:szCs w:val="24"/>
          <w:lang w:val="it-IT"/>
        </w:rPr>
        <w:t>ZNOrg</w:t>
      </w:r>
      <w:proofErr w:type="spellEnd"/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F7805">
        <w:rPr>
          <w:rFonts w:ascii="Times New Roman" w:hAnsi="Times New Roman"/>
          <w:sz w:val="24"/>
          <w:szCs w:val="24"/>
          <w:lang w:val="it-IT"/>
        </w:rPr>
        <w:t>e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8" w:tgtFrame="_blank" w:tooltip="Zakon o prenehanju veljavnosti Zakona o razglasitvi zaščitne ekološke cone in epikontinentalnem pasu Republike Slovenije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31/18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ZPVZRZECEP),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degli articoli </w:t>
      </w:r>
      <w:r w:rsidRPr="00DF7805">
        <w:rPr>
          <w:rFonts w:ascii="Times New Roman" w:hAnsi="Times New Roman"/>
          <w:sz w:val="24"/>
          <w:szCs w:val="24"/>
          <w:lang w:val="it-IT"/>
        </w:rPr>
        <w:t>3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e 7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 xml:space="preserve"> della Legge sui servizi pubblici di rilevanza economica (Gazzetta Ufficiale della RS </w:t>
      </w:r>
      <w:proofErr w:type="spellStart"/>
      <w:r w:rsidR="00196E62" w:rsidRPr="00DF7805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="00196E62" w:rsidRPr="00DF7805">
        <w:rPr>
          <w:rFonts w:ascii="Times New Roman" w:hAnsi="Times New Roman"/>
          <w:sz w:val="24"/>
          <w:szCs w:val="24"/>
          <w:lang w:val="it-IT"/>
        </w:rPr>
        <w:t>.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19" w:tgtFrame="_blank" w:tooltip="Zakon o gospodarskih javnih službah (ZGJS)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32/93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, </w:t>
      </w:r>
      <w:hyperlink r:id="rId20" w:tgtFrame="_blank" w:tooltip="Zakon o zaključku lastninjenja in privatizaciji pravnih oseb v lasti Slovenske razvojne družbe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30/98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ZZLPPO, </w:t>
      </w:r>
      <w:hyperlink r:id="rId21" w:tgtFrame="_blank" w:tooltip="Zakon o javno-zasebnem partnerstvu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127/06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ZJZP, </w:t>
      </w:r>
      <w:hyperlink r:id="rId22" w:tgtFrame="_blank" w:tooltip="Zakon o upravljanju kapitalskih naložb Republike Slovenije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38/10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ZUKN 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>e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23" w:tgtFrame="_blank" w:tooltip="Avtentična razlaga 40. člena Zakona o gospodarskih javnih službah" w:history="1">
        <w:r w:rsidRPr="00DF7805">
          <w:rPr>
            <w:rStyle w:val="Hiperpovezava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57/11</w:t>
        </w:r>
      </w:hyperlink>
      <w:r w:rsidRPr="00DF7805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ORZGJS40), </w:t>
      </w:r>
      <w:r w:rsidR="00196E62" w:rsidRPr="00DF7805">
        <w:rPr>
          <w:rFonts w:ascii="Times New Roman" w:hAnsi="Times New Roman"/>
          <w:sz w:val="24"/>
          <w:szCs w:val="24"/>
          <w:lang w:val="it-IT"/>
        </w:rPr>
        <w:t>dell'articolo 5 del Decreto sui servizi pubblici di rilevanza economica (Bollettino Ufficiale del Comune di Isola n. 5/18 – testo unico ufficiale) e degli articoli 30 e 101 dello Statuto del Comune di Isola (Bollettino Ufficiale del Comune di Isola n. 5/18 – testo unico ufficiale), il Consiglio del Comune di Isola, riunitosi il …. alla sua … seduta ordinaria, accoglie il seguente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196E62" w:rsidP="00DB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DF780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Decreto di modifica e integrazione del Decreto sul porto comunale di Isola</w:t>
      </w:r>
    </w:p>
    <w:p w:rsidR="00DB4EB3" w:rsidRPr="00DF7805" w:rsidRDefault="00DB4EB3" w:rsidP="00DB4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DB4EB3" w:rsidRPr="00DF7805" w:rsidRDefault="00196E62" w:rsidP="00DB4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1</w:t>
      </w:r>
    </w:p>
    <w:p w:rsidR="00DB4EB3" w:rsidRPr="00DF7805" w:rsidRDefault="00196E62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Nel Decreto sul porto comunale di Isola</w:t>
      </w:r>
      <w:r w:rsidR="00DB4EB3" w:rsidRPr="00DF7805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Bollettino Ufficiale del Comune di Isola </w:t>
      </w:r>
      <w:proofErr w:type="spellStart"/>
      <w:r w:rsidRPr="00DF7805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DF7805">
        <w:rPr>
          <w:rFonts w:ascii="Times New Roman" w:hAnsi="Times New Roman"/>
          <w:sz w:val="24"/>
          <w:szCs w:val="24"/>
          <w:lang w:val="it-IT"/>
        </w:rPr>
        <w:t>.</w:t>
      </w:r>
      <w:r w:rsidR="00DB4EB3" w:rsidRPr="00DF7805">
        <w:rPr>
          <w:rFonts w:ascii="Times New Roman" w:hAnsi="Times New Roman"/>
          <w:sz w:val="24"/>
          <w:szCs w:val="24"/>
          <w:lang w:val="it-IT"/>
        </w:rPr>
        <w:t xml:space="preserve"> 24/15, 16/18), </w:t>
      </w:r>
      <w:r w:rsidRPr="00DF7805">
        <w:rPr>
          <w:rFonts w:ascii="Times New Roman" w:hAnsi="Times New Roman"/>
          <w:sz w:val="24"/>
          <w:szCs w:val="24"/>
          <w:lang w:val="it-IT"/>
        </w:rPr>
        <w:t>il quarto comma dell'articolo 4 si modifica e recita ora come segue</w:t>
      </w:r>
      <w:r w:rsidR="00DB4EB3" w:rsidRPr="00DF7805">
        <w:rPr>
          <w:rFonts w:ascii="Times New Roman" w:hAnsi="Times New Roman"/>
          <w:sz w:val="24"/>
          <w:szCs w:val="24"/>
          <w:lang w:val="it-IT"/>
        </w:rPr>
        <w:t>: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196E62" w:rsidP="00196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4"/>
          <w:lang w:val="it-IT"/>
        </w:rPr>
        <w:t>“</w:t>
      </w:r>
      <w:r w:rsidRPr="00196E62">
        <w:rPr>
          <w:rFonts w:ascii="Times New Roman" w:eastAsia="Times New Roman" w:hAnsi="Times New Roman"/>
          <w:noProof/>
          <w:sz w:val="24"/>
          <w:szCs w:val="24"/>
          <w:lang w:val="it-IT"/>
        </w:rPr>
        <w:t xml:space="preserve">(4) </w:t>
      </w:r>
      <w:r w:rsidRPr="00196E62">
        <w:rPr>
          <w:rFonts w:ascii="Times New Roman" w:hAnsi="Times New Roman"/>
          <w:noProof/>
          <w:sz w:val="24"/>
          <w:lang w:val="it-IT"/>
        </w:rPr>
        <w:t xml:space="preserve">Le infrastrutture portuali comprendono </w:t>
      </w:r>
      <w:r w:rsidR="000F2993" w:rsidRPr="00DF7805">
        <w:rPr>
          <w:rFonts w:ascii="Times New Roman" w:hAnsi="Times New Roman"/>
          <w:noProof/>
          <w:sz w:val="24"/>
          <w:lang w:val="it-IT"/>
        </w:rPr>
        <w:t>lo spazio idrico, costiero e altro che include la zona di attracco, le parti edificate e non della costa, i frangiflutti, gli impianti, le coste operative, gli stabili e gli spazi nel territorio del comune di Isola, destinati all’attuazione dell’attività portuaria, agli ormeggi, all’attracco e alla sicurezza delle imbarcazioni, alla costruzione e mantenimento delle imbarcazioni, al carico e scarico di persone e merci, alla conservazione, immagazzinamento e altre attività economiche legate a detta attività e al patrimonio che può essere ceduto in locazione per l’attuazione dell’attività di lucro.</w:t>
      </w:r>
      <w:r w:rsidR="00DB4EB3" w:rsidRPr="00DF7805">
        <w:rPr>
          <w:rFonts w:ascii="Times New Roman" w:hAnsi="Times New Roman"/>
          <w:sz w:val="24"/>
          <w:szCs w:val="24"/>
          <w:lang w:val="it-IT"/>
        </w:rPr>
        <w:t>«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2</w:t>
      </w:r>
    </w:p>
    <w:p w:rsidR="00DB4EB3" w:rsidRPr="00DF7805" w:rsidRDefault="000F299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Nel Decreto sul porto comunale di Isola si modificano il primo, il terzo e il quarto punto del quinto comma dell'articolo 4 e recitano ora come segue</w:t>
      </w:r>
      <w:r w:rsidR="00DB4EB3" w:rsidRPr="00DF7805">
        <w:rPr>
          <w:rFonts w:ascii="Times New Roman" w:hAnsi="Times New Roman"/>
          <w:sz w:val="24"/>
          <w:szCs w:val="24"/>
          <w:lang w:val="it-IT"/>
        </w:rPr>
        <w:t>:</w:t>
      </w:r>
    </w:p>
    <w:p w:rsidR="000F2993" w:rsidRPr="00DF7805" w:rsidRDefault="000F299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F2993" w:rsidRPr="000F2993" w:rsidRDefault="000F2993" w:rsidP="000F299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“</w:t>
      </w:r>
      <w:r w:rsidRPr="000F2993">
        <w:rPr>
          <w:rFonts w:ascii="Times New Roman" w:eastAsia="Times New Roman" w:hAnsi="Times New Roman"/>
          <w:noProof/>
          <w:sz w:val="24"/>
          <w:szCs w:val="20"/>
          <w:lang w:val="it-IT"/>
        </w:rPr>
        <w:t>1.  Molo nord (molo doganale):</w:t>
      </w:r>
    </w:p>
    <w:p w:rsidR="000F2993" w:rsidRPr="000F2993" w:rsidRDefault="000F2993" w:rsidP="000F2993">
      <w:pPr>
        <w:spacing w:after="0" w:line="240" w:lineRule="auto"/>
        <w:ind w:left="2268" w:hanging="1848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0F2993">
        <w:rPr>
          <w:rFonts w:ascii="Times New Roman" w:eastAsia="Times New Roman" w:hAnsi="Times New Roman"/>
          <w:noProof/>
          <w:sz w:val="24"/>
          <w:szCs w:val="20"/>
          <w:lang w:val="it-IT"/>
        </w:rPr>
        <w:t>destinazione d'uso: porto pubblico cittadino, destinato al trasporto pubblico di passeggeri,  al rifornimento delle imbarcazioni con carburante, all'approdo, ormeggio, ancoraggio, custodia delle imbarcazioni e all'esecuzione del controllo doganale e del controllo di frontiera,</w:t>
      </w:r>
    </w:p>
    <w:p w:rsidR="000F2993" w:rsidRPr="000F2993" w:rsidRDefault="000F2993" w:rsidP="000F2993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0F2993">
        <w:rPr>
          <w:rFonts w:ascii="Times New Roman" w:eastAsia="Times New Roman" w:hAnsi="Times New Roman"/>
          <w:noProof/>
          <w:sz w:val="24"/>
          <w:szCs w:val="20"/>
          <w:lang w:val="it-IT"/>
        </w:rPr>
        <w:lastRenderedPageBreak/>
        <w:t>a. superficie di terraferma: molo doganale e frangiflutti, e banchina, larga circa 70 cm, tra il molo nord e il molo principale, con estensione di dieci metri dal molo nord in direzione nord, e il frangiflutti del molo principale nell’intera lunghezza, inclusa la parte allargata del molo principale fino al muro di separazione,</w:t>
      </w:r>
    </w:p>
    <w:p w:rsidR="000F2993" w:rsidRPr="000F2993" w:rsidRDefault="000F2993" w:rsidP="000F2993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0F2993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b. superficie di mare: spazio di mare nella parte settentrionale del molo principale, acquatorio tra il molo doganale e quello principale e l’acquatorio </w:t>
      </w:r>
      <w:smartTag w:uri="urn:schemas-microsoft-com:office:smarttags" w:element="metricconverter">
        <w:smartTagPr>
          <w:attr w:name="ProductID" w:val="22 m"/>
        </w:smartTagPr>
        <w:r w:rsidRPr="000F2993">
          <w:rPr>
            <w:rFonts w:ascii="Times New Roman" w:eastAsia="Times New Roman" w:hAnsi="Times New Roman"/>
            <w:noProof/>
            <w:sz w:val="24"/>
            <w:szCs w:val="20"/>
            <w:lang w:val="it-IT"/>
          </w:rPr>
          <w:t>22 m</w:t>
        </w:r>
      </w:smartTag>
      <w:r w:rsidRPr="000F2993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a nord del molo nord,</w:t>
      </w:r>
    </w:p>
    <w:p w:rsidR="000F2993" w:rsidRPr="00DF7805" w:rsidRDefault="000F299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DB4EB3" w:rsidRPr="00DF7805" w:rsidRDefault="00DB4EB3" w:rsidP="00DB4EB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/>
        </w:rPr>
      </w:pPr>
    </w:p>
    <w:p w:rsidR="005D6642" w:rsidRPr="005D6642" w:rsidRDefault="005D6642" w:rsidP="005D664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>3. Mandracchio:</w:t>
      </w:r>
    </w:p>
    <w:p w:rsidR="005D6642" w:rsidRPr="005D6642" w:rsidRDefault="005D6642" w:rsidP="005D6642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>destinazione d'uso: nella parte sudovest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e sudest</w:t>
      </w: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e del corridoio di accesso </w:t>
      </w: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porto peschereccio, destinato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alla pesca e alle imbarcazioni per la</w:t>
      </w: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maricoltura;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nella parte nordest, nella lunghezza di circa 90 m, </w:t>
      </w: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>porto locale con regime speciale per l'importanza dell'aspetto della città – il regime particolare si definisce nelle Condizioni generali</w:t>
      </w:r>
      <w:r w:rsidRPr="005D6642">
        <w:rPr>
          <w:rFonts w:ascii="Times New Roman" w:eastAsia="Times New Roman" w:hAnsi="Times New Roman"/>
          <w:sz w:val="24"/>
          <w:szCs w:val="24"/>
          <w:lang w:val="it-IT"/>
        </w:rPr>
        <w:t>,</w:t>
      </w:r>
    </w:p>
    <w:p w:rsidR="005D6642" w:rsidRPr="005D6642" w:rsidRDefault="005D6642" w:rsidP="005D6642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>a. superficie di terraferma: area del mandracchio con appartenente banchina – fascia costiera nella larghezza di circa 70 cm, fino a circa 30 m a nord dall’inizio del molo grande,</w:t>
      </w:r>
    </w:p>
    <w:p w:rsidR="005D6642" w:rsidRPr="005D6642" w:rsidRDefault="005D6642" w:rsidP="005D6642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5D6642">
        <w:rPr>
          <w:rFonts w:ascii="Times New Roman" w:eastAsia="Times New Roman" w:hAnsi="Times New Roman"/>
          <w:noProof/>
          <w:sz w:val="24"/>
          <w:szCs w:val="20"/>
          <w:lang w:val="it-IT"/>
        </w:rPr>
        <w:t>b. superficie del mare: acquatorio del mandracchio,</w:t>
      </w:r>
    </w:p>
    <w:p w:rsidR="005D6642" w:rsidRPr="00DF7805" w:rsidRDefault="005D6642" w:rsidP="00DB4EB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</w:p>
    <w:p w:rsidR="005D6642" w:rsidRPr="00DF7805" w:rsidRDefault="005D6642" w:rsidP="00DB4EB3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</w:p>
    <w:p w:rsidR="00DF7805" w:rsidRPr="00DF7805" w:rsidRDefault="00DF7805" w:rsidP="00DF780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4. Moli del mandracchio:</w:t>
      </w:r>
    </w:p>
    <w:p w:rsidR="00DF7805" w:rsidRPr="00DF7805" w:rsidRDefault="00DF7805" w:rsidP="00DF7805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destinazione d'uso: piccolo molo nord del mandracchio – dalla parte est – porto destinato alle imbarcazioni da pesca e alle imbarcazioni per la maricoltura fino alla lunghezza di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10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m; area del molo con pertinente banchina, dalla parte ovest – porto destinato all’approdo di imbarcazioni e rifornimento di carburante,</w:t>
      </w:r>
    </w:p>
    <w:p w:rsidR="00DF7805" w:rsidRPr="00DF7805" w:rsidRDefault="00DF7805" w:rsidP="00DF7805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color w:val="FF0000"/>
          <w:sz w:val="24"/>
          <w:szCs w:val="20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                            piccolo molo sud del mandracchio da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nord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est – porto dedicato agli ormeggi da pesca,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da sudovest – porto dedicato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agli ormeggi delle imbarcazioni per la maricoltura, agli ormeggi commerciali, comunali, agli ormeggi per le imbarcazioni di particolare finalità, a tempo determinato e giornalieri,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 ormeggi da pesca e delle imbarcazioni per la maricultura,</w:t>
      </w:r>
    </w:p>
    <w:p w:rsidR="00DF7805" w:rsidRPr="00DF7805" w:rsidRDefault="00DF7805" w:rsidP="00DF7805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a. superficie di terraferma: area dei moli con pertinente banchina –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fino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all’inizio di Riva del Sole, visto dalla prospettiva di Piazza Grande, destinata all’approdo delle imbarcazioni, al rifornimento di carburante e ad altre attività previo consenso del gestore,</w:t>
      </w:r>
    </w:p>
    <w:p w:rsidR="00DF7805" w:rsidRPr="00DF7805" w:rsidRDefault="00DF7805" w:rsidP="00DF7805">
      <w:pPr>
        <w:spacing w:after="0" w:line="240" w:lineRule="auto"/>
        <w:ind w:left="2160" w:hanging="1740"/>
        <w:jc w:val="both"/>
        <w:rPr>
          <w:rFonts w:ascii="Times New Roman" w:eastAsia="Times New Roman" w:hAnsi="Times New Roman"/>
          <w:noProof/>
          <w:sz w:val="24"/>
          <w:szCs w:val="20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 xml:space="preserve">b. superficie del mare: corridoio marino, destinato alla manovra e </w:t>
      </w:r>
      <w:r w:rsidRPr="00DF7805">
        <w:rPr>
          <w:rFonts w:ascii="Times New Roman" w:eastAsia="Times New Roman" w:hAnsi="Times New Roman"/>
          <w:noProof/>
          <w:sz w:val="24"/>
          <w:szCs w:val="20"/>
          <w:lang w:val="it-IT"/>
        </w:rPr>
        <w:t>all'ormeggio delle imbarcazioni”</w:t>
      </w:r>
    </w:p>
    <w:p w:rsidR="00DF7805" w:rsidRPr="00DF7805" w:rsidRDefault="00DF7805" w:rsidP="00DB4EB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/>
        </w:rPr>
      </w:pPr>
    </w:p>
    <w:p w:rsidR="00DF7805" w:rsidRPr="00DF7805" w:rsidRDefault="00DF7805" w:rsidP="00DF78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4"/>
          <w:lang w:val="it-IT"/>
        </w:rPr>
        <w:t>3</w:t>
      </w:r>
    </w:p>
    <w:p w:rsidR="00DF7805" w:rsidRPr="00DF7805" w:rsidRDefault="00DF7805" w:rsidP="00DF780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DF7805">
        <w:rPr>
          <w:rFonts w:ascii="Times New Roman" w:eastAsia="Times New Roman" w:hAnsi="Times New Roman"/>
          <w:noProof/>
          <w:sz w:val="24"/>
          <w:szCs w:val="24"/>
          <w:lang w:val="it-IT"/>
        </w:rPr>
        <w:t>L'undicesimo comma dell'articolo 26 del Decreto sul porto comunale è depennato.</w:t>
      </w:r>
    </w:p>
    <w:p w:rsidR="00DF7805" w:rsidRPr="00DF7805" w:rsidRDefault="00DF7805" w:rsidP="00DB4EB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it-IT"/>
        </w:rPr>
      </w:pPr>
    </w:p>
    <w:p w:rsidR="00DB4EB3" w:rsidRPr="00DF7805" w:rsidRDefault="00DB4EB3" w:rsidP="00DB4E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permStart w:id="612189769" w:edGrp="everyone"/>
    </w:p>
    <w:p w:rsidR="00DB4EB3" w:rsidRPr="00DF7805" w:rsidRDefault="00DF7805" w:rsidP="00DB4E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F7805">
        <w:rPr>
          <w:rFonts w:ascii="Times New Roman" w:hAnsi="Times New Roman"/>
          <w:color w:val="000000"/>
          <w:sz w:val="24"/>
          <w:szCs w:val="24"/>
          <w:lang w:val="it-IT"/>
        </w:rPr>
        <w:t>4</w:t>
      </w:r>
    </w:p>
    <w:permEnd w:id="612189769"/>
    <w:p w:rsidR="00DB4EB3" w:rsidRPr="00DF7805" w:rsidRDefault="00DF7805" w:rsidP="00DB4E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F7805">
        <w:rPr>
          <w:rFonts w:ascii="Times New Roman" w:hAnsi="Times New Roman"/>
          <w:color w:val="000000"/>
          <w:sz w:val="24"/>
          <w:szCs w:val="24"/>
          <w:lang w:val="it-IT"/>
        </w:rPr>
        <w:t>Il presente Decreto entra in vigore il quindicesimo giorno dopo la pubblicazione nel Bollettino Ufficiale del Comune di Isola</w:t>
      </w:r>
      <w:r w:rsidR="00DB4EB3" w:rsidRPr="00DF7805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  <w:t xml:space="preserve">      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</w:t>
      </w:r>
      <w:r w:rsidR="00DF7805" w:rsidRPr="00DF7805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gramStart"/>
      <w:r w:rsidR="00DF7805" w:rsidRPr="00DF7805">
        <w:rPr>
          <w:rFonts w:ascii="Times New Roman" w:hAnsi="Times New Roman"/>
          <w:sz w:val="24"/>
          <w:szCs w:val="24"/>
          <w:lang w:val="it-IT"/>
        </w:rPr>
        <w:t>l  S</w:t>
      </w:r>
      <w:proofErr w:type="gramEnd"/>
      <w:r w:rsidR="00DF7805" w:rsidRPr="00DF7805">
        <w:rPr>
          <w:rFonts w:ascii="Times New Roman" w:hAnsi="Times New Roman"/>
          <w:sz w:val="24"/>
          <w:szCs w:val="24"/>
          <w:lang w:val="it-IT"/>
        </w:rPr>
        <w:t xml:space="preserve"> i n d a c o</w:t>
      </w:r>
    </w:p>
    <w:p w:rsidR="00DB4EB3" w:rsidRPr="00DF7805" w:rsidRDefault="00DB4EB3" w:rsidP="00DB4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</w:t>
      </w:r>
      <w:r w:rsidRPr="00DF7805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Danilo Markočič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S</w:t>
      </w:r>
      <w:r w:rsidR="00DF7805" w:rsidRPr="00DF7805">
        <w:rPr>
          <w:rFonts w:ascii="Times New Roman" w:hAnsi="Times New Roman"/>
          <w:sz w:val="24"/>
          <w:szCs w:val="24"/>
          <w:lang w:val="it-IT"/>
        </w:rPr>
        <w:t>i recapita a</w:t>
      </w:r>
      <w:r w:rsidRPr="00DF7805">
        <w:rPr>
          <w:rFonts w:ascii="Times New Roman" w:hAnsi="Times New Roman"/>
          <w:sz w:val="24"/>
          <w:szCs w:val="24"/>
          <w:lang w:val="it-IT"/>
        </w:rPr>
        <w:t>:</w:t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1)</w:t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  <w:r w:rsidR="00DF7805" w:rsidRPr="00DF7805">
        <w:rPr>
          <w:rFonts w:ascii="Times New Roman" w:hAnsi="Times New Roman"/>
          <w:sz w:val="24"/>
          <w:szCs w:val="24"/>
          <w:lang w:val="it-IT"/>
        </w:rPr>
        <w:t>membri della CC</w:t>
      </w:r>
      <w:r w:rsidRPr="00DF7805">
        <w:rPr>
          <w:rFonts w:ascii="Times New Roman" w:hAnsi="Times New Roman"/>
          <w:sz w:val="24"/>
          <w:szCs w:val="24"/>
          <w:lang w:val="it-IT"/>
        </w:rPr>
        <w:t>,</w:t>
      </w:r>
    </w:p>
    <w:p w:rsidR="00DB4EB3" w:rsidRPr="00DF7805" w:rsidRDefault="00DF7805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2)</w:t>
      </w:r>
      <w:r w:rsidRPr="00DF7805">
        <w:rPr>
          <w:rFonts w:ascii="Times New Roman" w:hAnsi="Times New Roman"/>
          <w:sz w:val="24"/>
          <w:szCs w:val="24"/>
          <w:lang w:val="it-IT"/>
        </w:rPr>
        <w:tab/>
        <w:t>Sindaco</w:t>
      </w:r>
      <w:r w:rsidR="00DB4EB3" w:rsidRPr="00DF7805">
        <w:rPr>
          <w:rFonts w:ascii="Times New Roman" w:hAnsi="Times New Roman"/>
          <w:sz w:val="24"/>
          <w:szCs w:val="24"/>
          <w:lang w:val="it-IT"/>
        </w:rPr>
        <w:t>,</w:t>
      </w:r>
    </w:p>
    <w:p w:rsidR="00DB4EB3" w:rsidRPr="00DF7805" w:rsidRDefault="00DB4EB3" w:rsidP="00DB4E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 xml:space="preserve">3)       </w:t>
      </w:r>
      <w:r w:rsidR="00DF7805" w:rsidRPr="00DF7805">
        <w:rPr>
          <w:rFonts w:ascii="Times New Roman" w:hAnsi="Times New Roman"/>
          <w:sz w:val="24"/>
          <w:szCs w:val="24"/>
          <w:lang w:val="it-IT"/>
        </w:rPr>
        <w:t xml:space="preserve"> atti</w:t>
      </w:r>
      <w:r w:rsidRPr="00DF7805">
        <w:rPr>
          <w:rFonts w:ascii="Times New Roman" w:hAnsi="Times New Roman"/>
          <w:sz w:val="24"/>
          <w:szCs w:val="24"/>
          <w:lang w:val="it-IT"/>
        </w:rPr>
        <w:t>,</w:t>
      </w:r>
      <w:r w:rsidRPr="00DF7805">
        <w:rPr>
          <w:rFonts w:ascii="Times New Roman" w:hAnsi="Times New Roman"/>
          <w:sz w:val="24"/>
          <w:szCs w:val="24"/>
          <w:lang w:val="it-IT"/>
        </w:rPr>
        <w:tab/>
      </w:r>
    </w:p>
    <w:p w:rsidR="00DB4EB3" w:rsidRPr="00DF7805" w:rsidRDefault="00DB4EB3" w:rsidP="00DB4EB3">
      <w:pPr>
        <w:spacing w:after="0" w:line="240" w:lineRule="auto"/>
        <w:jc w:val="both"/>
        <w:rPr>
          <w:lang w:val="it-IT"/>
        </w:rPr>
      </w:pPr>
      <w:r w:rsidRPr="00DF7805">
        <w:rPr>
          <w:rFonts w:ascii="Times New Roman" w:hAnsi="Times New Roman"/>
          <w:sz w:val="24"/>
          <w:szCs w:val="24"/>
          <w:lang w:val="it-IT"/>
        </w:rPr>
        <w:t>4)</w:t>
      </w:r>
      <w:r w:rsidRPr="00DF7805">
        <w:rPr>
          <w:rFonts w:ascii="Times New Roman" w:hAnsi="Times New Roman"/>
          <w:sz w:val="24"/>
          <w:szCs w:val="24"/>
          <w:lang w:val="it-IT"/>
        </w:rPr>
        <w:tab/>
        <w:t>ar</w:t>
      </w:r>
      <w:r w:rsidR="00DF7805" w:rsidRPr="00DF7805">
        <w:rPr>
          <w:rFonts w:ascii="Times New Roman" w:hAnsi="Times New Roman"/>
          <w:sz w:val="24"/>
          <w:szCs w:val="24"/>
          <w:lang w:val="it-IT"/>
        </w:rPr>
        <w:t>c</w:t>
      </w:r>
      <w:r w:rsidRPr="00DF7805">
        <w:rPr>
          <w:rFonts w:ascii="Times New Roman" w:hAnsi="Times New Roman"/>
          <w:sz w:val="24"/>
          <w:szCs w:val="24"/>
          <w:lang w:val="it-IT"/>
        </w:rPr>
        <w:t>hiv</w:t>
      </w:r>
      <w:r w:rsidR="00DF7805" w:rsidRPr="00DF7805">
        <w:rPr>
          <w:rFonts w:ascii="Times New Roman" w:hAnsi="Times New Roman"/>
          <w:sz w:val="24"/>
          <w:szCs w:val="24"/>
          <w:lang w:val="it-IT"/>
        </w:rPr>
        <w:t>io</w:t>
      </w:r>
      <w:r w:rsidRPr="00DF7805">
        <w:rPr>
          <w:rFonts w:ascii="Times New Roman" w:hAnsi="Times New Roman"/>
          <w:sz w:val="24"/>
          <w:szCs w:val="24"/>
          <w:lang w:val="it-IT"/>
        </w:rPr>
        <w:t xml:space="preserve"> – 2x.</w:t>
      </w:r>
    </w:p>
    <w:p w:rsidR="001139A9" w:rsidRDefault="001139A9"/>
    <w:sectPr w:rsidR="0011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3"/>
    <w:rsid w:val="000F2993"/>
    <w:rsid w:val="001139A9"/>
    <w:rsid w:val="00196E62"/>
    <w:rsid w:val="005D6642"/>
    <w:rsid w:val="00884670"/>
    <w:rsid w:val="00DB4EB3"/>
    <w:rsid w:val="00D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2F4D7"/>
  <w15:chartTrackingRefBased/>
  <w15:docId w15:val="{5B3CADCD-68F8-4A28-80CC-F3E1838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B4EB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yperlink" Target="http://www.uradni-list.si/1/objava.jsp?sop=2018-01-0457" TargetMode="External"/><Relationship Id="rId18" Type="http://schemas.openxmlformats.org/officeDocument/2006/relationships/hyperlink" Target="http://www.uradni-list.si/1/objava.jsp?sop=2018-01-14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06-01-5348" TargetMode="Externa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17" Type="http://schemas.openxmlformats.org/officeDocument/2006/relationships/hyperlink" Target="http://www.uradni-list.si/1/objava.jsp?sop=2018-01-088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7-01-2066" TargetMode="External"/><Relationship Id="rId20" Type="http://schemas.openxmlformats.org/officeDocument/2006/relationships/hyperlink" Target="http://www.uradni-list.si/1/objava.jsp?sop=1998-01-12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11" Type="http://schemas.openxmlformats.org/officeDocument/2006/relationships/hyperlink" Target="http://www.uradni-list.si/1/objava.jsp?sop=2012-01-170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osta.oizola@izola.si" TargetMode="External"/><Relationship Id="rId15" Type="http://schemas.openxmlformats.org/officeDocument/2006/relationships/hyperlink" Target="http://www.uradni-list.si/1/objava.jsp?sop=2016-01-2603" TargetMode="External"/><Relationship Id="rId23" Type="http://schemas.openxmlformats.org/officeDocument/2006/relationships/hyperlink" Target="http://www.uradni-list.si/1/objava.jsp?sop=2011-01-2638" TargetMode="External"/><Relationship Id="rId10" Type="http://schemas.openxmlformats.org/officeDocument/2006/relationships/hyperlink" Target="http://www.uradni-list.si/1/objava.jsp?sop=2010-01-2763" TargetMode="External"/><Relationship Id="rId19" Type="http://schemas.openxmlformats.org/officeDocument/2006/relationships/hyperlink" Target="http://www.uradni-list.si/1/objava.jsp?sop=1993-01-135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hyperlink" Target="http://www.uradni-list.si/1/objava.jsp?sop=2018-01-1356" TargetMode="External"/><Relationship Id="rId22" Type="http://schemas.openxmlformats.org/officeDocument/2006/relationships/hyperlink" Target="http://www.uradni-list.si/1/objava.jsp?sop=2010-01-18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2019-06-10T08:22:00Z</dcterms:created>
  <dcterms:modified xsi:type="dcterms:W3CDTF">2019-06-10T11:24:00Z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