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67" w:rsidRDefault="005D0B67" w:rsidP="005D0B67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D0B67" w:rsidRPr="003F7D8F" w:rsidTr="00A5213A">
        <w:tc>
          <w:tcPr>
            <w:tcW w:w="1056" w:type="dxa"/>
          </w:tcPr>
          <w:p w:rsidR="005D0B67" w:rsidRPr="003F7D8F" w:rsidRDefault="005D0B67" w:rsidP="00A52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D8F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413FA55" wp14:editId="6D77756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5D0B67" w:rsidRPr="003F7D8F" w:rsidRDefault="005D0B67" w:rsidP="00A521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7D8F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5D0B67" w:rsidRPr="003F7D8F" w:rsidRDefault="005D0B67" w:rsidP="00A521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F7D8F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3F7D8F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3F7D8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D0B67" w:rsidRPr="003F7D8F" w:rsidRDefault="005D0B67" w:rsidP="00A52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5D0B67" w:rsidRPr="003F7D8F" w:rsidRDefault="005D0B67" w:rsidP="00A52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>6310 Izola – Isola</w:t>
            </w:r>
          </w:p>
          <w:p w:rsidR="005D0B67" w:rsidRPr="003F7D8F" w:rsidRDefault="005D0B67" w:rsidP="00A52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>Tel: 05 66 00 100, Fax: 05 66 00 110</w:t>
            </w:r>
          </w:p>
          <w:p w:rsidR="005D0B67" w:rsidRPr="003F7D8F" w:rsidRDefault="005D0B67" w:rsidP="00A52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6" w:history="1">
              <w:r w:rsidRPr="003F7D8F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posta.oizola@izola.si</w:t>
              </w:r>
            </w:hyperlink>
          </w:p>
          <w:p w:rsidR="005D0B67" w:rsidRPr="003F7D8F" w:rsidRDefault="005D0B67" w:rsidP="00A52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 xml:space="preserve">Web: </w:t>
            </w:r>
            <w:hyperlink r:id="rId7" w:history="1">
              <w:r w:rsidRPr="003F7D8F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http://www.izola.si/</w:t>
              </w:r>
            </w:hyperlink>
          </w:p>
        </w:tc>
      </w:tr>
    </w:tbl>
    <w:p w:rsidR="005D0B67" w:rsidRPr="003F7D8F" w:rsidRDefault="005D0B67" w:rsidP="005D0B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Pr="003F7D8F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8F">
        <w:rPr>
          <w:rFonts w:ascii="Times New Roman" w:hAnsi="Times New Roman" w:cs="Times New Roman"/>
          <w:sz w:val="24"/>
          <w:szCs w:val="24"/>
        </w:rPr>
        <w:t>Številka:</w:t>
      </w:r>
      <w:r>
        <w:rPr>
          <w:rFonts w:ascii="Times New Roman" w:hAnsi="Times New Roman" w:cs="Times New Roman"/>
          <w:sz w:val="24"/>
          <w:szCs w:val="24"/>
        </w:rPr>
        <w:t xml:space="preserve"> 354-175/2018</w:t>
      </w: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8F">
        <w:rPr>
          <w:rFonts w:ascii="Times New Roman" w:hAnsi="Times New Roman" w:cs="Times New Roman"/>
          <w:sz w:val="24"/>
          <w:szCs w:val="24"/>
        </w:rPr>
        <w:t>Datum:</w:t>
      </w:r>
      <w:r w:rsidR="00B271EB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. 01. 20</w:t>
      </w:r>
      <w:r w:rsidR="007638B9">
        <w:rPr>
          <w:rFonts w:ascii="Times New Roman" w:hAnsi="Times New Roman" w:cs="Times New Roman"/>
          <w:sz w:val="24"/>
          <w:szCs w:val="24"/>
        </w:rPr>
        <w:t>20</w:t>
      </w: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Pr="003F7D8F" w:rsidRDefault="005D0B67" w:rsidP="005D0B6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7D8F">
        <w:rPr>
          <w:rFonts w:ascii="Times New Roman" w:hAnsi="Times New Roman" w:cs="Times New Roman"/>
          <w:b/>
          <w:sz w:val="24"/>
          <w:szCs w:val="24"/>
        </w:rPr>
        <w:t>ČLANOM OBČINSKEGA SVETA</w:t>
      </w:r>
    </w:p>
    <w:p w:rsidR="005D0B67" w:rsidRPr="003F7D8F" w:rsidRDefault="005D0B67" w:rsidP="005D0B6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7D8F">
        <w:rPr>
          <w:rFonts w:ascii="Times New Roman" w:hAnsi="Times New Roman" w:cs="Times New Roman"/>
          <w:b/>
          <w:sz w:val="24"/>
          <w:szCs w:val="24"/>
        </w:rPr>
        <w:t>OBČINE IZOLA</w:t>
      </w: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5D0B67" w:rsidTr="00A5213A">
        <w:tc>
          <w:tcPr>
            <w:tcW w:w="2689" w:type="dxa"/>
          </w:tcPr>
          <w:p w:rsidR="005D0B67" w:rsidRPr="001D31B1" w:rsidRDefault="005D0B67" w:rsidP="00A5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ZADEVA:</w:t>
            </w:r>
          </w:p>
        </w:tc>
        <w:tc>
          <w:tcPr>
            <w:tcW w:w="6373" w:type="dxa"/>
          </w:tcPr>
          <w:p w:rsidR="005D0B67" w:rsidRDefault="005D0B67" w:rsidP="00A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spremembah in dopolnitvah Pravilnika o zbiranju in prevozu komunalnih odpadkov</w:t>
            </w:r>
          </w:p>
        </w:tc>
      </w:tr>
      <w:tr w:rsidR="005D0B67" w:rsidTr="00A5213A">
        <w:trPr>
          <w:trHeight w:val="311"/>
        </w:trPr>
        <w:tc>
          <w:tcPr>
            <w:tcW w:w="2689" w:type="dxa"/>
          </w:tcPr>
          <w:p w:rsidR="005D0B67" w:rsidRPr="001D31B1" w:rsidRDefault="005D0B67" w:rsidP="00A5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5D0B67" w:rsidRDefault="005D0B67" w:rsidP="00A5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67" w:rsidTr="00A5213A">
        <w:tc>
          <w:tcPr>
            <w:tcW w:w="2689" w:type="dxa"/>
          </w:tcPr>
          <w:p w:rsidR="005D0B67" w:rsidRPr="001D31B1" w:rsidRDefault="005D0B67" w:rsidP="00A5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PRAVNA PODLAGA:</w:t>
            </w:r>
          </w:p>
        </w:tc>
        <w:tc>
          <w:tcPr>
            <w:tcW w:w="6373" w:type="dxa"/>
          </w:tcPr>
          <w:p w:rsidR="005D0B67" w:rsidRDefault="005D0B67" w:rsidP="00A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Odlok o ravnanju s komunalnimi odpadki</w:t>
            </w:r>
          </w:p>
        </w:tc>
      </w:tr>
      <w:tr w:rsidR="005D0B67" w:rsidTr="00A5213A">
        <w:tc>
          <w:tcPr>
            <w:tcW w:w="2689" w:type="dxa"/>
          </w:tcPr>
          <w:p w:rsidR="005D0B67" w:rsidRPr="001D31B1" w:rsidRDefault="005D0B67" w:rsidP="00A5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5D0B67" w:rsidRDefault="005D0B67" w:rsidP="00A5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67" w:rsidTr="00A5213A">
        <w:tc>
          <w:tcPr>
            <w:tcW w:w="2689" w:type="dxa"/>
          </w:tcPr>
          <w:p w:rsidR="005D0B67" w:rsidRPr="001D31B1" w:rsidRDefault="005D0B67" w:rsidP="00A5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PRIPRAVLJALEC GRADIVA:</w:t>
            </w:r>
          </w:p>
        </w:tc>
        <w:tc>
          <w:tcPr>
            <w:tcW w:w="6373" w:type="dxa"/>
          </w:tcPr>
          <w:p w:rsidR="005D0B67" w:rsidRDefault="000C7F7C" w:rsidP="00A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 Komunala Izola d.</w:t>
            </w:r>
            <w:r w:rsidR="00D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D6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</w:tr>
      <w:tr w:rsidR="005D0B67" w:rsidTr="00A5213A">
        <w:tc>
          <w:tcPr>
            <w:tcW w:w="2689" w:type="dxa"/>
          </w:tcPr>
          <w:p w:rsidR="005D0B67" w:rsidRPr="001D31B1" w:rsidRDefault="005D0B67" w:rsidP="00A5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5D0B67" w:rsidRDefault="005D0B67" w:rsidP="00A5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67" w:rsidTr="00A5213A">
        <w:tc>
          <w:tcPr>
            <w:tcW w:w="2689" w:type="dxa"/>
          </w:tcPr>
          <w:p w:rsidR="005D0B67" w:rsidRPr="001D31B1" w:rsidRDefault="005D0B67" w:rsidP="00A5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POROČEVALEC:</w:t>
            </w:r>
          </w:p>
        </w:tc>
        <w:tc>
          <w:tcPr>
            <w:tcW w:w="6373" w:type="dxa"/>
          </w:tcPr>
          <w:p w:rsidR="005D0B67" w:rsidRDefault="00885BCA" w:rsidP="00A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 Bele, direktor</w:t>
            </w:r>
          </w:p>
        </w:tc>
      </w:tr>
    </w:tbl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5D0B67" w:rsidRDefault="005D0B67" w:rsidP="005D0B6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(priloga I),</w:t>
      </w:r>
    </w:p>
    <w:p w:rsidR="00D24607" w:rsidRPr="00143109" w:rsidRDefault="00143109" w:rsidP="00143109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04B1">
        <w:rPr>
          <w:rFonts w:ascii="Times New Roman" w:hAnsi="Times New Roman" w:cs="Times New Roman"/>
          <w:sz w:val="24"/>
          <w:szCs w:val="24"/>
        </w:rPr>
        <w:t>redlog sprememb in dopolnitev Pravilnika</w:t>
      </w:r>
      <w:r>
        <w:rPr>
          <w:rFonts w:ascii="Times New Roman" w:hAnsi="Times New Roman" w:cs="Times New Roman"/>
          <w:sz w:val="24"/>
          <w:szCs w:val="24"/>
        </w:rPr>
        <w:t xml:space="preserve"> (priloga II)</w:t>
      </w:r>
      <w:r w:rsidR="00D24607" w:rsidRPr="00143109">
        <w:rPr>
          <w:rFonts w:ascii="Times New Roman" w:hAnsi="Times New Roman" w:cs="Times New Roman"/>
          <w:sz w:val="24"/>
          <w:szCs w:val="24"/>
        </w:rPr>
        <w:t>.</w:t>
      </w:r>
    </w:p>
    <w:p w:rsidR="00D24607" w:rsidRPr="00D24607" w:rsidRDefault="00D24607" w:rsidP="00D246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ermStart w:id="507409186" w:edGrp="everyone"/>
      <w:permEnd w:id="507409186"/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5D0B67" w:rsidP="005D0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B67" w:rsidRPr="00A351D5" w:rsidRDefault="005D0B67" w:rsidP="005D0B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51D5">
        <w:rPr>
          <w:rFonts w:ascii="Times New Roman" w:hAnsi="Times New Roman" w:cs="Times New Roman"/>
          <w:b/>
          <w:sz w:val="24"/>
          <w:szCs w:val="24"/>
        </w:rPr>
        <w:lastRenderedPageBreak/>
        <w:t>Priloga I</w:t>
      </w:r>
    </w:p>
    <w:p w:rsidR="005D0B67" w:rsidRDefault="005D0B67" w:rsidP="005D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Obrazložitev</w:t>
      </w:r>
    </w:p>
    <w:p w:rsidR="005D0B67" w:rsidRDefault="005D0B67" w:rsidP="005D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Odlok o ravnanju s komunalnimi odpadki (v nadaljevanju Odlok) je Občinski svet Občine Izola (v nadaljevanju občinski svet) sprejel dne 12. 3. 2018. V 12. členu je določeno, da občinski svet sprejme Pravilnik o zbiranju in prevozu komunalnih odpadkov (v nadaljevanju Pravilnik) na predlog izvajalca. Pravilnik, ki ga je potrebno</w:t>
      </w:r>
      <w:r w:rsidRPr="0020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tekoče usklajevati s spremembami predpisov, </w:t>
      </w:r>
      <w:r>
        <w:rPr>
          <w:rFonts w:ascii="Times New Roman" w:hAnsi="Times New Roman" w:cs="Times New Roman"/>
          <w:sz w:val="24"/>
          <w:szCs w:val="24"/>
        </w:rPr>
        <w:t>mora obsegati:</w:t>
      </w:r>
    </w:p>
    <w:p w:rsidR="005D0B67" w:rsidRPr="00750C8F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C8F">
        <w:rPr>
          <w:rFonts w:ascii="Times New Roman" w:hAnsi="Times New Roman" w:cs="Times New Roman"/>
          <w:sz w:val="24"/>
          <w:szCs w:val="24"/>
        </w:rPr>
        <w:t>opredelitev tehnologije ravnanja z odpadki,</w:t>
      </w:r>
    </w:p>
    <w:p w:rsidR="005D0B67" w:rsidRPr="00750C8F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C8F">
        <w:rPr>
          <w:rFonts w:ascii="Times New Roman" w:hAnsi="Times New Roman" w:cs="Times New Roman"/>
          <w:sz w:val="24"/>
          <w:szCs w:val="24"/>
        </w:rPr>
        <w:t>način določitve števila prevzema odpadkov po posamezn</w:t>
      </w:r>
      <w:permStart w:id="366243047" w:edGrp="everyone"/>
      <w:permEnd w:id="366243047"/>
      <w:r w:rsidRPr="00750C8F">
        <w:rPr>
          <w:rFonts w:ascii="Times New Roman" w:hAnsi="Times New Roman" w:cs="Times New Roman"/>
          <w:sz w:val="24"/>
          <w:szCs w:val="24"/>
        </w:rPr>
        <w:t>ih kategorijah, skladno s tem odlokom,</w:t>
      </w:r>
    </w:p>
    <w:p w:rsidR="005D0B67" w:rsidRPr="006F7FE8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FE8">
        <w:rPr>
          <w:rFonts w:ascii="Times New Roman" w:hAnsi="Times New Roman" w:cs="Times New Roman"/>
          <w:sz w:val="24"/>
          <w:szCs w:val="24"/>
        </w:rPr>
        <w:t>tehnologijo, pogoje in način ločenega zbiranja odpadkov,</w:t>
      </w:r>
    </w:p>
    <w:p w:rsidR="005D0B67" w:rsidRPr="006F7FE8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7FE8">
        <w:rPr>
          <w:rFonts w:ascii="Times New Roman" w:hAnsi="Times New Roman" w:cs="Times New Roman"/>
          <w:sz w:val="24"/>
          <w:szCs w:val="24"/>
        </w:rPr>
        <w:t>standardizacijo predpisanih posod za odpadke, vključno z natančnimi merili za določanje izhodiščne prostornine posod, potrebne posameznemu povzročitelju oziroma skupini povzročiteljev,</w:t>
      </w:r>
    </w:p>
    <w:p w:rsidR="005D0B67" w:rsidRPr="00423AFC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AFC">
        <w:rPr>
          <w:rFonts w:ascii="Times New Roman" w:hAnsi="Times New Roman" w:cs="Times New Roman"/>
          <w:sz w:val="24"/>
          <w:szCs w:val="24"/>
        </w:rPr>
        <w:t>minimalni standard opreme ekoloških otokov (vrsta in število predpisanih posod, njihovo vzdrževanje in drugo),</w:t>
      </w:r>
    </w:p>
    <w:p w:rsidR="005D0B67" w:rsidRPr="00423AFC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AFC">
        <w:rPr>
          <w:rFonts w:ascii="Times New Roman" w:hAnsi="Times New Roman" w:cs="Times New Roman"/>
          <w:sz w:val="24"/>
          <w:szCs w:val="24"/>
        </w:rPr>
        <w:t>podrobnejšo vsebino katastra zbirnih in odjemnih prostorov in zbiralnic, zbirnih centrov,</w:t>
      </w:r>
    </w:p>
    <w:p w:rsidR="005D0B67" w:rsidRPr="00423AFC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AFC">
        <w:rPr>
          <w:rFonts w:ascii="Times New Roman" w:hAnsi="Times New Roman" w:cs="Times New Roman"/>
          <w:sz w:val="24"/>
          <w:szCs w:val="24"/>
        </w:rPr>
        <w:t>druge sestavine, določene s tem odlokom,</w:t>
      </w:r>
    </w:p>
    <w:p w:rsidR="005D0B67" w:rsidRPr="00423AFC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AFC">
        <w:rPr>
          <w:rFonts w:ascii="Times New Roman" w:hAnsi="Times New Roman" w:cs="Times New Roman"/>
          <w:sz w:val="24"/>
          <w:szCs w:val="24"/>
        </w:rPr>
        <w:t>obračun storitev ravnanja s komunalnimi odpadki,</w:t>
      </w:r>
    </w:p>
    <w:p w:rsidR="005D0B67" w:rsidRPr="00423AFC" w:rsidRDefault="005D0B67" w:rsidP="005D0B6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3AFC">
        <w:rPr>
          <w:rFonts w:ascii="Times New Roman" w:hAnsi="Times New Roman" w:cs="Times New Roman"/>
          <w:sz w:val="24"/>
          <w:szCs w:val="24"/>
        </w:rPr>
        <w:t>druge pogoje, merila in pravila, potrebna za organizirano in s predpisi usklajeno ravnanje z odpadki ter za nemoteno delovanje gospodarskih javnih služb.</w:t>
      </w:r>
    </w:p>
    <w:p w:rsidR="005D0B67" w:rsidRDefault="005D0B67" w:rsidP="005D0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B67" w:rsidRPr="0079494D" w:rsidRDefault="005D0B67" w:rsidP="005D0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sprejem predlagamo spremembe in </w:t>
      </w:r>
      <w:r w:rsidR="002D04B1">
        <w:rPr>
          <w:rFonts w:ascii="Times New Roman" w:hAnsi="Times New Roman" w:cs="Times New Roman"/>
          <w:color w:val="000000" w:themeColor="text1"/>
          <w:sz w:val="24"/>
          <w:szCs w:val="24"/>
        </w:rPr>
        <w:t>dopolnitve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Pravilnika, </w:t>
      </w:r>
      <w:r w:rsidR="002D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pripravljene v skladu z Odlokom. </w:t>
      </w:r>
      <w:r w:rsidR="002D04B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Zaradi izboljšav, ki so se pokazale kot nujne</w:t>
      </w:r>
      <w:r w:rsidR="0090335B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="002D04B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v praksi, </w:t>
      </w:r>
      <w:r w:rsidR="0072118A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izvajalec gospodarske javne službe </w:t>
      </w:r>
      <w:r w:rsidR="002D04B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želi spremeniti 24., 25. in 26. člen. Vsi ostali členi ostanejo nespremenjeni.</w:t>
      </w:r>
    </w:p>
    <w:p w:rsidR="00885BCA" w:rsidRDefault="00885BCA" w:rsidP="005D0B6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</w:pPr>
    </w:p>
    <w:p w:rsidR="005D0B67" w:rsidRPr="00AE7BFC" w:rsidRDefault="005D0B67" w:rsidP="005D0B6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  <w:t>Finančne posledice</w:t>
      </w:r>
    </w:p>
    <w:p w:rsidR="005D0B67" w:rsidRPr="00AE7BFC" w:rsidRDefault="005D0B67" w:rsidP="005D0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Sprejem predlaganih sprememb in dopolnitev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pravilnika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ne bo imel obremenitev za občinski proračun.</w:t>
      </w:r>
      <w:r w:rsidR="002D04B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</w:p>
    <w:p w:rsidR="005D0B67" w:rsidRPr="0079494D" w:rsidRDefault="005D0B67" w:rsidP="005D0B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B67" w:rsidRPr="005D5984" w:rsidRDefault="005D0B67" w:rsidP="005D0B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Zaključek</w:t>
      </w:r>
    </w:p>
    <w:p w:rsidR="005D0B67" w:rsidRPr="00A270D1" w:rsidRDefault="005D0B67" w:rsidP="005D0B67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Na osnovi podane</w:t>
      </w:r>
      <w:r w:rsidRPr="00FF5D1F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obrazložitve </w:t>
      </w:r>
      <w:r>
        <w:rPr>
          <w:rFonts w:ascii="Times New Roman" w:hAnsi="Times New Roman" w:cs="Times New Roman"/>
          <w:color w:val="000000"/>
          <w:sz w:val="24"/>
          <w:szCs w:val="24"/>
        </w:rPr>
        <w:t>in izdelanih sprememb in dopolnitev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Pravilnika,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ki ga je izdelala Komunala Izola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o.- Azienda pubblica Komunala Isola,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Občinskemu svetu predlagamo, da sprejme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Pravilnik o spremembah in dopolnitvah Pravilnika </w:t>
      </w:r>
      <w:r>
        <w:rPr>
          <w:rFonts w:ascii="Times New Roman" w:hAnsi="Times New Roman" w:cs="Times New Roman"/>
          <w:sz w:val="24"/>
          <w:szCs w:val="24"/>
        </w:rPr>
        <w:t>o zbiranju in prevozu komunalnih odpadkov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.</w:t>
      </w:r>
    </w:p>
    <w:p w:rsidR="005D0B67" w:rsidRPr="00A270D1" w:rsidRDefault="005D0B67" w:rsidP="005D0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D0B67" w:rsidRPr="00093417" w:rsidRDefault="005D0B67" w:rsidP="005D0B6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Obrazložitev pripravila: </w:t>
      </w:r>
    </w:p>
    <w:p w:rsidR="005D0B67" w:rsidRPr="00093417" w:rsidRDefault="005D0B67" w:rsidP="005D0B6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Višja svetovalka</w:t>
      </w:r>
    </w:p>
    <w:p w:rsidR="005D0B67" w:rsidRDefault="005D0B67" w:rsidP="005D0B6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Irena Prodan</w:t>
      </w: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Pr="00093417" w:rsidRDefault="005D0B67" w:rsidP="005D0B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Vodja UGDIKR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        </w:t>
      </w:r>
      <w:r w:rsidRPr="00093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Župan</w:t>
      </w:r>
    </w:p>
    <w:p w:rsidR="005D0B67" w:rsidRPr="00093417" w:rsidRDefault="005D0B67" w:rsidP="005D0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Tomaž Umek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                                                                           </w:t>
      </w:r>
      <w:r w:rsidR="0020117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Danilo Markočič</w:t>
      </w:r>
    </w:p>
    <w:p w:rsidR="005D0B67" w:rsidRDefault="005D0B6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5C7" w:rsidRDefault="005D05C7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B67" w:rsidRDefault="002D04B1" w:rsidP="005D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2D04B1" w:rsidRDefault="002D04B1" w:rsidP="002D04B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Nadzornega sveta z dne 03. 12. 2019,</w:t>
      </w:r>
    </w:p>
    <w:p w:rsidR="002D04B1" w:rsidRDefault="002D04B1" w:rsidP="002D04B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JP Komunala Izola d. o. o. z dne 03. 12. 2019,</w:t>
      </w:r>
    </w:p>
    <w:p w:rsidR="005D0B67" w:rsidRPr="002D04B1" w:rsidRDefault="002D04B1" w:rsidP="00B35D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04B1">
        <w:rPr>
          <w:rFonts w:ascii="Times New Roman" w:hAnsi="Times New Roman" w:cs="Times New Roman"/>
          <w:sz w:val="24"/>
          <w:szCs w:val="24"/>
        </w:rPr>
        <w:t>redlog sprememb in dopolnitev Pravilnika.</w:t>
      </w:r>
    </w:p>
    <w:p w:rsidR="005D0B67" w:rsidRDefault="005D0B67" w:rsidP="005D0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B67" w:rsidRPr="00A351D5" w:rsidRDefault="005D0B67" w:rsidP="005D0B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51D5">
        <w:rPr>
          <w:rFonts w:ascii="Times New Roman" w:hAnsi="Times New Roman" w:cs="Times New Roman"/>
          <w:b/>
          <w:sz w:val="24"/>
          <w:szCs w:val="24"/>
        </w:rPr>
        <w:lastRenderedPageBreak/>
        <w:t>Priloga II</w:t>
      </w:r>
    </w:p>
    <w:p w:rsidR="000F630B" w:rsidRPr="000F630B" w:rsidRDefault="000F630B" w:rsidP="000F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0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OBČINA IZOLA – COMUNE DI ISOLA</w:t>
      </w:r>
    </w:p>
    <w:p w:rsidR="000F630B" w:rsidRPr="000F630B" w:rsidRDefault="000F630B" w:rsidP="000F63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OBČINSKI SVET – CONSIGLIO COMUNALE</w:t>
      </w:r>
    </w:p>
    <w:p w:rsidR="000F630B" w:rsidRPr="000F630B" w:rsidRDefault="000F630B" w:rsidP="000F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630B" w:rsidRPr="000F630B" w:rsidRDefault="000F630B" w:rsidP="000F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12. člena Odloka o ravnanju s komunalnimi odpadki v občini Izola (Uradne objave Občine Izola, št. 4/2018, v nadaljevanju: Odlok), 30. in 101. člena Statuta Občine Izola– uradno prečiščeno besedilo (Uradne objave Občine Izola, št. 5/18) je Občinski svet Občine Izola na ….. redni seji, dne ….., sprejel </w:t>
      </w:r>
    </w:p>
    <w:p w:rsidR="000F630B" w:rsidRPr="000F630B" w:rsidRDefault="000F630B" w:rsidP="000F6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30B" w:rsidRPr="000F630B" w:rsidRDefault="000F630B" w:rsidP="000F63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30B" w:rsidRPr="000F630B" w:rsidRDefault="000F630B" w:rsidP="000F6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30B">
        <w:rPr>
          <w:rFonts w:ascii="Times New Roman" w:eastAsia="Calibri" w:hAnsi="Times New Roman" w:cs="Times New Roman"/>
          <w:b/>
          <w:sz w:val="24"/>
          <w:szCs w:val="24"/>
        </w:rPr>
        <w:t>PRAVILNIK</w:t>
      </w:r>
    </w:p>
    <w:p w:rsidR="000F630B" w:rsidRPr="00D24607" w:rsidRDefault="000F630B" w:rsidP="000F630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0F630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o SPREMEMBAH IN DOPOLNITVAH PRAVILNIKA O zbiranju in prevozu komunalnih </w:t>
      </w:r>
      <w:r w:rsidRPr="00D2460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odpadkov na območju Občine Izola</w:t>
      </w:r>
    </w:p>
    <w:p w:rsidR="000F630B" w:rsidRPr="00D24607" w:rsidRDefault="000F630B" w:rsidP="000F63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30B" w:rsidRPr="00D24607" w:rsidRDefault="000F630B" w:rsidP="000F630B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člen</w:t>
      </w:r>
    </w:p>
    <w:p w:rsidR="000F630B" w:rsidRPr="00D24607" w:rsidRDefault="00466AC7" w:rsidP="000F6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V Pravilniku o zbiranju in prevozu komunalnih odpadkov na območju Očine Izola </w:t>
      </w:r>
      <w:r w:rsidR="000F630B"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(Uradne objave Občine Izola, št. 17/19) se 24. člen spremeni tako, da se glasi:</w:t>
      </w:r>
    </w:p>
    <w:p w:rsidR="000F630B" w:rsidRPr="00D24607" w:rsidRDefault="000F630B" w:rsidP="000F6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F630B" w:rsidRPr="00D24607" w:rsidRDefault="000F630B" w:rsidP="000F6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»VII</w:t>
      </w:r>
      <w:r w:rsidR="00A21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</w:t>
      </w: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OBRAČUN STORITEV RAVNANJA S KOMUNALNIMI ODPADKI</w:t>
      </w:r>
    </w:p>
    <w:p w:rsidR="000F630B" w:rsidRPr="00D24607" w:rsidRDefault="000F630B" w:rsidP="000F630B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30B" w:rsidRPr="00D24607" w:rsidRDefault="000F630B" w:rsidP="000F630B">
      <w:pPr>
        <w:numPr>
          <w:ilvl w:val="0"/>
          <w:numId w:val="14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člen</w:t>
      </w:r>
    </w:p>
    <w:p w:rsidR="000F630B" w:rsidRPr="00D24607" w:rsidRDefault="000F630B" w:rsidP="000F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(gospodinjstva</w:t>
      </w:r>
      <w:r w:rsidRPr="00D246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- s</w:t>
      </w: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tanovanja)</w:t>
      </w:r>
    </w:p>
    <w:p w:rsidR="000F630B" w:rsidRPr="00D24607" w:rsidRDefault="000F630B" w:rsidP="000F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F630B" w:rsidRPr="00D24607" w:rsidRDefault="000F630B" w:rsidP="000F630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 obračun storitev ravnanja s komunalnimi odpadki se določi obračunski volumen storitev ravnanja z odpadki, pri čemer se upošteva število oseb in površino stanovanjske enote ter frekvenco odvoza.</w:t>
      </w:r>
    </w:p>
    <w:p w:rsidR="000F630B" w:rsidRPr="00D24607" w:rsidRDefault="000F630B" w:rsidP="000F630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Ne glede na dejansko obdobje uporabe stanovanja ali njegove zasedenosti se obračun izvede za celoten tekoči mesec.</w:t>
      </w:r>
    </w:p>
    <w:p w:rsidR="000F630B" w:rsidRPr="000F630B" w:rsidRDefault="000F630B" w:rsidP="000F630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Definicija stanovanjske enote: upošteva se uporabna površina stanovanjske enote in dodatno zaprti prostori, kot na primer klet, zaprti balkon, loža, garaža </w:t>
      </w:r>
      <w:r w:rsidRPr="000F630B">
        <w:rPr>
          <w:rFonts w:ascii="Times New Roman" w:eastAsia="Calibri" w:hAnsi="Times New Roman" w:cs="Times New Roman"/>
          <w:sz w:val="24"/>
          <w:szCs w:val="24"/>
        </w:rPr>
        <w:t xml:space="preserve">in drugi zaprti prostor, ki pripada stanovanjski enoti. V kolikor uporabna površina ni znana (določena), se uporabi neto tlorisna površina prostora. Podatke se lahko pridobi tudi iz javnih evidenc Geodetske uprave Republike Slovenije. </w:t>
      </w:r>
    </w:p>
    <w:p w:rsidR="000F630B" w:rsidRPr="000F630B" w:rsidRDefault="000F630B" w:rsidP="000F630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Za obračun se upošteva podatke, pridobljene s strani uporabnika stanovanjske enote oziroma povzročitelja odpadkov. V primeru, da se podatkov ne pridobi</w:t>
      </w:r>
      <w:r w:rsidRPr="000F6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630B">
        <w:rPr>
          <w:rFonts w:ascii="Times New Roman" w:eastAsia="Calibri" w:hAnsi="Times New Roman" w:cs="Times New Roman"/>
          <w:b/>
          <w:color w:val="385623"/>
          <w:sz w:val="24"/>
          <w:szCs w:val="24"/>
        </w:rPr>
        <w:t>od uporabnika</w:t>
      </w:r>
      <w:r w:rsidRPr="000F630B">
        <w:rPr>
          <w:rFonts w:ascii="Times New Roman" w:eastAsia="Calibri" w:hAnsi="Times New Roman" w:cs="Times New Roman"/>
          <w:sz w:val="24"/>
          <w:szCs w:val="24"/>
        </w:rPr>
        <w:t>, se uporabi podatke iz javnih evidenc.</w:t>
      </w:r>
    </w:p>
    <w:p w:rsidR="000F630B" w:rsidRPr="000F630B" w:rsidRDefault="000F630B" w:rsidP="000F630B">
      <w:pPr>
        <w:numPr>
          <w:ilvl w:val="0"/>
          <w:numId w:val="6"/>
        </w:numPr>
        <w:spacing w:after="0" w:line="276" w:lineRule="auto"/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Način določitve volumna za stanovanjsko enoto:</w:t>
      </w:r>
    </w:p>
    <w:p w:rsidR="000F630B" w:rsidRPr="000F630B" w:rsidRDefault="000F630B" w:rsidP="000F630B">
      <w:pPr>
        <w:widowControl w:val="0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b/>
          <w:bCs/>
          <w:sz w:val="24"/>
          <w:szCs w:val="24"/>
        </w:rPr>
        <w:t>Komunalni odpadki (MKO):</w:t>
      </w:r>
    </w:p>
    <w:p w:rsidR="000F630B" w:rsidRPr="000F630B" w:rsidRDefault="000F630B" w:rsidP="000F630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hanging="11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fiksni del (prostornina zabojnika 60 l),</w:t>
      </w:r>
    </w:p>
    <w:p w:rsidR="000F630B" w:rsidRPr="00D24607" w:rsidRDefault="000F630B" w:rsidP="000F630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hanging="11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variabilni del (20 l / osebo),</w:t>
      </w:r>
    </w:p>
    <w:p w:rsidR="000F630B" w:rsidRPr="00D24607" w:rsidRDefault="000F630B" w:rsidP="000F630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l-SI"/>
        </w:rPr>
        <w:t>za objekte, kjer površina presega 75 m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sl-SI"/>
        </w:rPr>
        <w:t>2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l-SI"/>
        </w:rPr>
        <w:t>, se za vsakih začetih (preseženih) nadaljnjih 75 m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sl-SI"/>
        </w:rPr>
        <w:t>2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l-SI"/>
        </w:rPr>
        <w:t xml:space="preserve">  doda volumen 30 l,</w:t>
      </w:r>
    </w:p>
    <w:p w:rsidR="000F630B" w:rsidRPr="00D24607" w:rsidRDefault="000F630B" w:rsidP="000F630B">
      <w:pPr>
        <w:widowControl w:val="0"/>
        <w:autoSpaceDE w:val="0"/>
        <w:autoSpaceDN w:val="0"/>
        <w:adjustRightInd w:val="0"/>
        <w:ind w:left="180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l-SI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97"/>
        <w:gridCol w:w="3789"/>
      </w:tblGrid>
      <w:tr w:rsidR="00D24607" w:rsidRPr="00D24607" w:rsidTr="00D049E6"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prikaz dodatkov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D24607" w:rsidRPr="00D24607" w:rsidTr="00D049E6"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76-150 m2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dodatnih 30 l</w:t>
            </w:r>
          </w:p>
        </w:tc>
      </w:tr>
      <w:tr w:rsidR="00D24607" w:rsidRPr="00D24607" w:rsidTr="00D049E6"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151-225 m2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dodatnih 60 l</w:t>
            </w:r>
          </w:p>
        </w:tc>
      </w:tr>
      <w:tr w:rsidR="00D24607" w:rsidRPr="00D24607" w:rsidTr="00D049E6"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226 – 300 m2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dodatnih 90 l</w:t>
            </w:r>
          </w:p>
        </w:tc>
      </w:tr>
      <w:tr w:rsidR="00D24607" w:rsidRPr="00D24607" w:rsidTr="00D049E6"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301 – 375 m2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dodatnih 120 l</w:t>
            </w:r>
          </w:p>
        </w:tc>
      </w:tr>
      <w:tr w:rsidR="00D24607" w:rsidRPr="00D24607" w:rsidTr="00D049E6">
        <w:trPr>
          <w:trHeight w:val="343"/>
        </w:trPr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lastRenderedPageBreak/>
              <w:t>376 – 450 m2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dodatnih 150 l</w:t>
            </w:r>
          </w:p>
        </w:tc>
      </w:tr>
      <w:tr w:rsidR="00D24607" w:rsidRPr="00D24607" w:rsidTr="00D049E6">
        <w:trPr>
          <w:trHeight w:val="343"/>
        </w:trPr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451 – 525 m2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dodatnih 180 l</w:t>
            </w:r>
          </w:p>
        </w:tc>
      </w:tr>
      <w:tr w:rsidR="00D24607" w:rsidRPr="00D24607" w:rsidTr="00D049E6">
        <w:trPr>
          <w:trHeight w:val="343"/>
        </w:trPr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526 – 600 m2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dodatnih 210 l</w:t>
            </w:r>
          </w:p>
        </w:tc>
      </w:tr>
      <w:tr w:rsidR="00D24607" w:rsidRPr="00D24607" w:rsidTr="00D049E6">
        <w:trPr>
          <w:trHeight w:val="343"/>
        </w:trPr>
        <w:tc>
          <w:tcPr>
            <w:tcW w:w="3697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Več od 600 </w:t>
            </w:r>
          </w:p>
        </w:tc>
        <w:tc>
          <w:tcPr>
            <w:tcW w:w="3789" w:type="dxa"/>
            <w:shd w:val="clear" w:color="auto" w:fill="FFFFFF"/>
          </w:tcPr>
          <w:p w:rsidR="000F630B" w:rsidRPr="00D24607" w:rsidRDefault="000F630B" w:rsidP="000F630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D246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sl-SI"/>
              </w:rPr>
              <w:t>V skladu z zgornjim pravilom</w:t>
            </w:r>
          </w:p>
        </w:tc>
      </w:tr>
    </w:tbl>
    <w:p w:rsidR="000F630B" w:rsidRPr="000F630B" w:rsidRDefault="000F630B" w:rsidP="000F630B">
      <w:pPr>
        <w:widowControl w:val="0"/>
        <w:autoSpaceDE w:val="0"/>
        <w:autoSpaceDN w:val="0"/>
        <w:adjustRightInd w:val="0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0F630B" w:rsidRPr="000F630B" w:rsidRDefault="000F630B" w:rsidP="000F630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frekvenca pobiranja odpadkov se izvaja kot je določeno v 1. odstavku 34. člena tega pravilnika.</w:t>
      </w:r>
    </w:p>
    <w:p w:rsidR="000F630B" w:rsidRPr="000F630B" w:rsidRDefault="000F630B" w:rsidP="000F630B">
      <w:pPr>
        <w:widowControl w:val="0"/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b/>
          <w:bCs/>
          <w:sz w:val="24"/>
          <w:szCs w:val="24"/>
        </w:rPr>
        <w:t>Biorazgradljivi odpadki (BIO):</w:t>
      </w:r>
    </w:p>
    <w:p w:rsidR="000F630B" w:rsidRPr="000F630B" w:rsidRDefault="000F630B" w:rsidP="00D62BAA">
      <w:pPr>
        <w:widowControl w:val="0"/>
        <w:numPr>
          <w:ilvl w:val="0"/>
          <w:numId w:val="9"/>
        </w:numPr>
        <w:tabs>
          <w:tab w:val="clear" w:pos="1776"/>
          <w:tab w:val="num" w:pos="993"/>
          <w:tab w:val="num" w:pos="1276"/>
        </w:tabs>
        <w:autoSpaceDE w:val="0"/>
        <w:autoSpaceDN w:val="0"/>
        <w:adjustRightInd w:val="0"/>
        <w:spacing w:after="0" w:line="240" w:lineRule="auto"/>
        <w:ind w:hanging="7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fiksni del (prostornina zabojnika 20 l),</w:t>
      </w:r>
    </w:p>
    <w:p w:rsidR="000F630B" w:rsidRPr="000F630B" w:rsidRDefault="000F630B" w:rsidP="00D62BAA">
      <w:pPr>
        <w:widowControl w:val="0"/>
        <w:numPr>
          <w:ilvl w:val="2"/>
          <w:numId w:val="10"/>
        </w:numPr>
        <w:tabs>
          <w:tab w:val="clear" w:pos="2160"/>
          <w:tab w:val="num" w:pos="1134"/>
          <w:tab w:val="num" w:pos="1276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variabilni del (5 l / osebo),</w:t>
      </w:r>
    </w:p>
    <w:p w:rsidR="000F630B" w:rsidRPr="000F630B" w:rsidRDefault="000F630B" w:rsidP="000F630B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frekvenca pobiranja odpadkov </w:t>
      </w:r>
      <w:r w:rsidRPr="000F630B">
        <w:rPr>
          <w:rFonts w:ascii="Times New Roman" w:eastAsia="Calibri" w:hAnsi="Times New Roman" w:cs="Times New Roman"/>
          <w:sz w:val="24"/>
          <w:szCs w:val="24"/>
        </w:rPr>
        <w:t>se izvaja kot je določeno v 2. odstavku 34. člena tega pravilnika.</w:t>
      </w:r>
    </w:p>
    <w:p w:rsidR="000F630B" w:rsidRPr="000F630B" w:rsidRDefault="000F630B" w:rsidP="000F63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začasno prijavljene osebe se storitev obračuna tako, da se število oseb doda k odjemnemu mestu stanovanjske enote, v katerem je prijavljena. Obračun se izvede za celoten tekoči mesec, v katerem je oseba začasno prijavljena. </w:t>
      </w:r>
    </w:p>
    <w:p w:rsidR="000F630B" w:rsidRPr="000F630B" w:rsidRDefault="000F630B" w:rsidP="000F630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Za objekte, kjer ni prijavljenih oseb oziroma za katere ni znano ali ni možno ugotoviti število oseb (prazno stanovanje), se storitev obračuna po načinu obračuna za stanovanjsko enoto z upoštevanjem ene osebe.</w:t>
      </w:r>
    </w:p>
    <w:p w:rsidR="000F630B" w:rsidRPr="000F630B" w:rsidRDefault="000F630B" w:rsidP="000F630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 xml:space="preserve">Za sobodajalca </w:t>
      </w:r>
      <w:r w:rsidRPr="000F630B">
        <w:rPr>
          <w:rFonts w:ascii="Times New Roman" w:eastAsia="Calibri" w:hAnsi="Times New Roman" w:cs="Times New Roman"/>
          <w:bCs/>
          <w:sz w:val="24"/>
          <w:szCs w:val="24"/>
        </w:rPr>
        <w:t>se storitev obračuna tako, da se določi pavšal,</w:t>
      </w:r>
      <w:r w:rsidRPr="000F630B">
        <w:rPr>
          <w:rFonts w:ascii="Times New Roman" w:eastAsia="Calibri" w:hAnsi="Times New Roman" w:cs="Times New Roman"/>
          <w:sz w:val="24"/>
          <w:szCs w:val="24"/>
        </w:rPr>
        <w:t xml:space="preserve"> glede na razpoložljivo kapaciteto obrata:</w:t>
      </w:r>
    </w:p>
    <w:p w:rsidR="000F630B" w:rsidRPr="000F630B" w:rsidRDefault="000F630B" w:rsidP="000F630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če se sobodajalstvo izvaja na naslovu nosilca sobodajalstva, se za kapaciteto do 4 osebe dodatno obračuna  še 1 oseba k osnovnemu obračunu uporabnika,</w:t>
      </w:r>
    </w:p>
    <w:p w:rsidR="000F630B" w:rsidRPr="000F630B" w:rsidRDefault="000F630B" w:rsidP="000F630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če se sobodajalstvo izvaja na drugi lokaciji (dislocirani enoti nosilca sobodajalstva), se za kapaciteto do 4 osebe obračun vrši po načinu praznega stanovanja (6. odstavek tega člena).</w:t>
      </w:r>
    </w:p>
    <w:p w:rsidR="000F630B" w:rsidRPr="000F630B" w:rsidRDefault="000F630B" w:rsidP="00D62BAA">
      <w:pPr>
        <w:widowControl w:val="0"/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za kapaciteto obrata se za vsake nadaljnje 4 osebe doda 1 oseba k obračunu,</w:t>
      </w:r>
    </w:p>
    <w:p w:rsidR="000F630B" w:rsidRPr="000F630B" w:rsidRDefault="000F630B" w:rsidP="00D62BAA">
      <w:pPr>
        <w:widowControl w:val="0"/>
        <w:numPr>
          <w:ilvl w:val="1"/>
          <w:numId w:val="1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pavšal za izvajanje sobodajalstva se obračuna za obdobje izvajanja sobodajalstva,</w:t>
      </w:r>
    </w:p>
    <w:p w:rsidR="000F630B" w:rsidRPr="000F630B" w:rsidRDefault="000F630B" w:rsidP="000F630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obdobje izvajanja sobodajalstva lastnik objekta oziroma nosilec sobodajalstva pisno sporoči izvajalcu,</w:t>
      </w:r>
    </w:p>
    <w:p w:rsidR="000F630B" w:rsidRPr="000F630B" w:rsidRDefault="000F630B" w:rsidP="00D62BA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obračun se izvede za celoten tekoči mesec, v katerem se dejavnost izvaja,</w:t>
      </w:r>
    </w:p>
    <w:p w:rsidR="000F630B" w:rsidRPr="000F630B" w:rsidRDefault="000F630B" w:rsidP="000F630B">
      <w:pPr>
        <w:numPr>
          <w:ilvl w:val="1"/>
          <w:numId w:val="12"/>
        </w:numPr>
        <w:tabs>
          <w:tab w:val="left" w:pos="709"/>
        </w:tabs>
        <w:spacing w:after="0" w:line="240" w:lineRule="auto"/>
        <w:ind w:hanging="10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sobodajalca, ki je pravna oseba, se obravnava kot poslovni subjekt.</w:t>
      </w:r>
    </w:p>
    <w:p w:rsidR="000F630B" w:rsidRPr="000F630B" w:rsidRDefault="000F630B" w:rsidP="000F630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Za samostojni objekt, ki nima funkcije stanovanjske enote, kot je lopa »kažeta«, vikend, gospodarski objekt in podobno, se obračun določi na naslednji način:</w:t>
      </w:r>
    </w:p>
    <w:p w:rsidR="000F630B" w:rsidRPr="000F630B" w:rsidRDefault="000F630B" w:rsidP="00D62B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do površine 20 m</w:t>
      </w:r>
      <w:r w:rsidRPr="000F630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F630B">
        <w:rPr>
          <w:rFonts w:ascii="Times New Roman" w:eastAsia="Calibri" w:hAnsi="Times New Roman" w:cs="Times New Roman"/>
          <w:sz w:val="24"/>
          <w:szCs w:val="24"/>
        </w:rPr>
        <w:t xml:space="preserve"> se objekta ne obravnava,</w:t>
      </w:r>
    </w:p>
    <w:p w:rsidR="000F630B" w:rsidRPr="000F630B" w:rsidRDefault="000F630B" w:rsidP="000F63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v kolikor je lastnik prijavljen v občini Izola, se površini nad 20 m</w:t>
      </w:r>
      <w:r w:rsidRPr="000F630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F630B">
        <w:rPr>
          <w:rFonts w:ascii="Times New Roman" w:eastAsia="Calibri" w:hAnsi="Times New Roman" w:cs="Times New Roman"/>
          <w:sz w:val="24"/>
          <w:szCs w:val="24"/>
        </w:rPr>
        <w:t xml:space="preserve"> obračuna 1 dodatno osebo k stanovanjski enoti uporabnika,</w:t>
      </w:r>
    </w:p>
    <w:p w:rsidR="000F630B" w:rsidRPr="000F630B" w:rsidRDefault="000F630B" w:rsidP="000F63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v kolikor je lastnik iz druge občine ali države, se površino nad 20 m</w:t>
      </w:r>
      <w:r w:rsidRPr="000F630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F630B">
        <w:rPr>
          <w:rFonts w:ascii="Times New Roman" w:eastAsia="Calibri" w:hAnsi="Times New Roman" w:cs="Times New Roman"/>
          <w:sz w:val="24"/>
          <w:szCs w:val="24"/>
        </w:rPr>
        <w:t xml:space="preserve"> obravnava kot samostojni objekt in obračun vrši po načinu obračuna za stanovanja (</w:t>
      </w: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4. odstavek tega člena)</w:t>
      </w:r>
      <w:r w:rsidRPr="000F63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30B" w:rsidRPr="000F630B" w:rsidRDefault="000F630B" w:rsidP="000F63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Uporabnik, ki odda  vlogo v zvezi s spremembo podatkov za obračun storitev ravnanja s komunalnimi odpadki do vključno 25. dne v mesecu, se obravnava v tekočem mesecu. Oddana vloga, prispela od 26. dne dalje v mesecu, se obravnava v naslednjem mesecu.</w:t>
      </w:r>
    </w:p>
    <w:p w:rsidR="000F630B" w:rsidRPr="000F630B" w:rsidRDefault="000F630B" w:rsidP="000F630B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Za ureditev obračuna storitev ravnanja s komunalnimi odpadki je potrebno k vlogi priložiti uradni dokument, iz katerega je razvidna identifikacijska oznaka nepremičnine (ID objekta).</w:t>
      </w:r>
    </w:p>
    <w:p w:rsidR="000F630B" w:rsidRPr="000F630B" w:rsidRDefault="000F630B" w:rsidP="000F630B">
      <w:pPr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Uporabnik z izvajalcem uskladi podatke z Zapisnikom za obračun storitev ravnanja s komunalnimi odpadki.</w:t>
      </w:r>
    </w:p>
    <w:p w:rsidR="000F630B" w:rsidRDefault="000F630B" w:rsidP="000F630B">
      <w:pPr>
        <w:numPr>
          <w:ilvl w:val="0"/>
          <w:numId w:val="6"/>
        </w:numPr>
        <w:spacing w:after="0" w:line="276" w:lineRule="auto"/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 pisnim pooblastilom uporabnika lahko zadeve, ki vplivajo na obračun storitev ravnanja z odpadki, v njegovem imenu uredi tudi druga oseba.« </w:t>
      </w:r>
    </w:p>
    <w:p w:rsidR="00AE27E3" w:rsidRPr="000F630B" w:rsidRDefault="00AE27E3" w:rsidP="00AE27E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30B" w:rsidRPr="000F630B" w:rsidRDefault="000F630B" w:rsidP="00D62BAA">
      <w:pPr>
        <w:numPr>
          <w:ilvl w:val="0"/>
          <w:numId w:val="16"/>
        </w:numPr>
        <w:spacing w:after="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člen</w:t>
      </w:r>
    </w:p>
    <w:p w:rsidR="000F630B" w:rsidRPr="000F630B" w:rsidRDefault="000F630B" w:rsidP="00D62BAA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630B" w:rsidRDefault="000F630B" w:rsidP="00D62BA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člen se spremeni tako, da se glasi:</w:t>
      </w:r>
    </w:p>
    <w:p w:rsidR="00A21B0C" w:rsidRDefault="00A21B0C" w:rsidP="00A21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B0C" w:rsidRPr="00D24607" w:rsidRDefault="00A21B0C" w:rsidP="00A21B0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»25. člen</w:t>
      </w:r>
    </w:p>
    <w:p w:rsidR="00A21B0C" w:rsidRPr="00D24607" w:rsidRDefault="00A21B0C" w:rsidP="00A21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(poslovni </w:t>
      </w:r>
      <w:r w:rsidRPr="00612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subjekt in poslovni prostori</w:t>
      </w: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</w:p>
    <w:p w:rsidR="00A21B0C" w:rsidRPr="00D24607" w:rsidRDefault="00A21B0C" w:rsidP="00A21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A21B0C" w:rsidRDefault="00A21B0C" w:rsidP="00A21B0C">
      <w:pPr>
        <w:pStyle w:val="Odstavekseznama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poslovni subjekt in poslovni prostor se storitev ravnanja z odpadki obračunava po dejanski količini odpadkov, vendar najmanj izhodiščne (minimalne) količine na podlagi spodnje tabele:</w:t>
      </w:r>
    </w:p>
    <w:p w:rsidR="00A21B0C" w:rsidRPr="000F630B" w:rsidRDefault="00A21B0C" w:rsidP="00A21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1278"/>
        <w:gridCol w:w="1164"/>
        <w:gridCol w:w="1280"/>
        <w:gridCol w:w="1278"/>
        <w:gridCol w:w="1273"/>
        <w:gridCol w:w="1134"/>
      </w:tblGrid>
      <w:tr w:rsidR="00BB54B8" w:rsidRPr="00DD3EEF" w:rsidTr="004B129E">
        <w:trPr>
          <w:trHeight w:val="615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54B8" w:rsidRPr="00A21B0C" w:rsidRDefault="00BB54B8" w:rsidP="00A21B0C">
            <w:pPr>
              <w:spacing w:after="0" w:line="276" w:lineRule="auto"/>
              <w:rPr>
                <w:rFonts w:cs="Arial"/>
              </w:rPr>
            </w:pPr>
            <w:r w:rsidRPr="00A21B0C">
              <w:rPr>
                <w:rFonts w:cs="Arial"/>
              </w:rPr>
              <w:t> </w:t>
            </w:r>
          </w:p>
        </w:tc>
        <w:tc>
          <w:tcPr>
            <w:tcW w:w="3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Komunalni odpadki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Biološki odpadki</w:t>
            </w:r>
          </w:p>
        </w:tc>
      </w:tr>
      <w:tr w:rsidR="00BB54B8" w:rsidRPr="00DD3EEF" w:rsidTr="004B129E">
        <w:trPr>
          <w:trHeight w:val="144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Povzročitelji iz dejavnosti                              (število oseb)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obračunska prostornina  / odvoz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frekvenca praznjenja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mesečna obračunska prostornina  v litrih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obračunska prostornina  / odvoz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frekvenca praznjenja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mesečna količina v litrih</w:t>
            </w:r>
          </w:p>
        </w:tc>
      </w:tr>
      <w:tr w:rsidR="00BB54B8" w:rsidRPr="00DD3EEF" w:rsidTr="004B129E">
        <w:trPr>
          <w:trHeight w:val="9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rPr>
                <w:rFonts w:ascii="Arial" w:hAnsi="Arial" w:cs="Arial"/>
                <w:b/>
                <w:bCs/>
              </w:rPr>
            </w:pPr>
            <w:r w:rsidRPr="00DD3EEF">
              <w:rPr>
                <w:rFonts w:ascii="Arial" w:hAnsi="Arial" w:cs="Arial"/>
                <w:b/>
                <w:bCs/>
              </w:rPr>
              <w:t>Storitvene dejavnosti in proizvodne dej. (pisarne, agencije, drobna obrt, šole, skladišče..)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od 0 do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95,48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43,30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 xml:space="preserve"> od 2 do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190,96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86,60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od 4 do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176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381,92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173,20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od 6 do 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352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763,84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346,40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od 11 do 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564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1223,88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541,25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nad  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806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1749,02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779,40</w:t>
            </w:r>
          </w:p>
        </w:tc>
      </w:tr>
      <w:tr w:rsidR="00BB54B8" w:rsidRPr="00DD3EEF" w:rsidTr="004B129E">
        <w:trPr>
          <w:trHeight w:val="66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rPr>
                <w:rFonts w:ascii="Arial" w:hAnsi="Arial" w:cs="Arial"/>
                <w:b/>
                <w:bCs/>
              </w:rPr>
            </w:pPr>
            <w:r w:rsidRPr="00DD3EEF">
              <w:rPr>
                <w:rFonts w:ascii="Arial" w:hAnsi="Arial" w:cs="Arial"/>
                <w:b/>
                <w:bCs/>
              </w:rPr>
              <w:t>Trgovska dejavnost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 xml:space="preserve">do 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190,96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168,35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 xml:space="preserve">od 4 do </w:t>
            </w:r>
            <w:r w:rsidR="00734203"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176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381,92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336,70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od 6 do 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352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763,84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841,75</w:t>
            </w:r>
          </w:p>
        </w:tc>
      </w:tr>
      <w:tr w:rsidR="00BB54B8" w:rsidRPr="00DD3EEF" w:rsidTr="004B129E">
        <w:trPr>
          <w:trHeight w:val="414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od 11 do 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564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1223,88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1080,25</w:t>
            </w:r>
          </w:p>
        </w:tc>
      </w:tr>
      <w:tr w:rsidR="00BB54B8" w:rsidRPr="00DD3EEF" w:rsidTr="004B129E">
        <w:trPr>
          <w:trHeight w:val="548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 xml:space="preserve">nad 15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806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1749,02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1543,21</w:t>
            </w:r>
          </w:p>
        </w:tc>
      </w:tr>
      <w:tr w:rsidR="00BB54B8" w:rsidRPr="00DD3EEF" w:rsidTr="004B129E">
        <w:trPr>
          <w:trHeight w:val="9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rPr>
                <w:rFonts w:ascii="Arial" w:hAnsi="Arial" w:cs="Arial"/>
                <w:b/>
                <w:bCs/>
              </w:rPr>
            </w:pPr>
            <w:r w:rsidRPr="00DD3EEF">
              <w:rPr>
                <w:rFonts w:ascii="Arial" w:hAnsi="Arial" w:cs="Arial"/>
                <w:b/>
                <w:bCs/>
              </w:rPr>
              <w:lastRenderedPageBreak/>
              <w:t>Gostinska dejavnost (bifeji, kavarne, gostilne, restavracije, diskoteke, penzioni, hostel.):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 xml:space="preserve"> do 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176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381,92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336,70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od 21 do 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352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763,84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841,75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od 51 do 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564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1223,88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1080,25</w:t>
            </w: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nad 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806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1749,02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1543,21</w:t>
            </w:r>
          </w:p>
        </w:tc>
      </w:tr>
      <w:tr w:rsidR="00BB54B8" w:rsidRPr="00DD3EEF" w:rsidTr="004B129E">
        <w:trPr>
          <w:trHeight w:val="6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rPr>
                <w:rFonts w:ascii="Arial" w:hAnsi="Arial" w:cs="Arial"/>
                <w:b/>
                <w:bCs/>
              </w:rPr>
            </w:pPr>
            <w:r w:rsidRPr="00DD3EEF">
              <w:rPr>
                <w:rFonts w:ascii="Arial" w:hAnsi="Arial" w:cs="Arial"/>
                <w:b/>
                <w:bCs/>
              </w:rPr>
              <w:t>Poslovni prostor brez registrirane dejavnosti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</w:p>
        </w:tc>
      </w:tr>
      <w:tr w:rsidR="00BB54B8" w:rsidRPr="00DD3EEF" w:rsidTr="004B129E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minimalna količina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906534" w:rsidRDefault="00BB54B8" w:rsidP="004B129E">
            <w:pPr>
              <w:jc w:val="center"/>
              <w:rPr>
                <w:rFonts w:ascii="Arial" w:hAnsi="Arial" w:cs="Arial"/>
              </w:rPr>
            </w:pPr>
            <w:r w:rsidRPr="00906534">
              <w:rPr>
                <w:rFonts w:ascii="Arial" w:hAnsi="Arial" w:cs="Arial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1/14dni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95,48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1/7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B8" w:rsidRPr="00DD3EEF" w:rsidRDefault="00BB54B8" w:rsidP="004B129E">
            <w:pPr>
              <w:jc w:val="center"/>
              <w:rPr>
                <w:rFonts w:ascii="Arial" w:hAnsi="Arial" w:cs="Arial"/>
              </w:rPr>
            </w:pPr>
            <w:r w:rsidRPr="00DD3EEF">
              <w:rPr>
                <w:rFonts w:ascii="Arial" w:hAnsi="Arial" w:cs="Arial"/>
              </w:rPr>
              <w:t>43,30</w:t>
            </w:r>
          </w:p>
        </w:tc>
      </w:tr>
    </w:tbl>
    <w:p w:rsidR="000F630B" w:rsidRPr="00D24607" w:rsidRDefault="000F630B" w:rsidP="00D6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630B" w:rsidRPr="00D24607" w:rsidRDefault="000F630B" w:rsidP="00D62BAA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izračun obračunskega volumna iz dejanskih tež odpadkov ali volumnov, zabojnikov </w:t>
      </w:r>
    </w:p>
    <w:p w:rsidR="000F630B" w:rsidRPr="00D24607" w:rsidRDefault="000F630B" w:rsidP="00D6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se uporabljajo nasipne gostote, ki jih določi izvajalec javne službe.</w:t>
      </w:r>
    </w:p>
    <w:p w:rsidR="000F630B" w:rsidRPr="00D24607" w:rsidRDefault="000F630B" w:rsidP="00D62BAA">
      <w:pPr>
        <w:pStyle w:val="Odstavekseznama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 primeru, da se odvoz odpadkov ne izvaja v sklopu rednega odvoza odpadkov, se prevoz obračunava posebej pod pogoji, ki jih določi izvajalec javne službe.</w:t>
      </w:r>
    </w:p>
    <w:p w:rsidR="000F630B" w:rsidRPr="00D24607" w:rsidRDefault="00C7400D" w:rsidP="00D62BAA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07">
        <w:rPr>
          <w:rFonts w:ascii="Times New Roman" w:hAnsi="Times New Roman" w:cs="Times New Roman"/>
          <w:sz w:val="24"/>
          <w:szCs w:val="24"/>
        </w:rPr>
        <w:t>Uporabnik, ki opravlja dejavnost sezonske narave</w:t>
      </w:r>
      <w:r w:rsidR="00D24607" w:rsidRPr="00D24607">
        <w:rPr>
          <w:rFonts w:ascii="Times New Roman" w:hAnsi="Times New Roman" w:cs="Times New Roman"/>
          <w:sz w:val="24"/>
          <w:szCs w:val="24"/>
        </w:rPr>
        <w:t xml:space="preserve"> in časovno omejeno (na primer kioski s hrano</w:t>
      </w:r>
      <w:r w:rsidRPr="00D24607">
        <w:rPr>
          <w:rFonts w:ascii="Times New Roman" w:hAnsi="Times New Roman" w:cs="Times New Roman"/>
          <w:sz w:val="24"/>
          <w:szCs w:val="24"/>
        </w:rPr>
        <w:t xml:space="preserve">, </w:t>
      </w:r>
      <w:r w:rsidR="00D24607" w:rsidRPr="00D24607">
        <w:rPr>
          <w:rFonts w:ascii="Times New Roman" w:hAnsi="Times New Roman" w:cs="Times New Roman"/>
          <w:sz w:val="24"/>
          <w:szCs w:val="24"/>
        </w:rPr>
        <w:t xml:space="preserve">kioski za </w:t>
      </w:r>
      <w:r w:rsidRPr="00D24607">
        <w:rPr>
          <w:rFonts w:ascii="Times New Roman" w:hAnsi="Times New Roman" w:cs="Times New Roman"/>
          <w:sz w:val="24"/>
          <w:szCs w:val="24"/>
        </w:rPr>
        <w:t>prodaj</w:t>
      </w:r>
      <w:r w:rsidR="00D24607" w:rsidRPr="00D24607">
        <w:rPr>
          <w:rFonts w:ascii="Times New Roman" w:hAnsi="Times New Roman" w:cs="Times New Roman"/>
          <w:sz w:val="24"/>
          <w:szCs w:val="24"/>
        </w:rPr>
        <w:t>o</w:t>
      </w:r>
      <w:r w:rsidRPr="00D24607">
        <w:rPr>
          <w:rFonts w:ascii="Times New Roman" w:hAnsi="Times New Roman" w:cs="Times New Roman"/>
          <w:sz w:val="24"/>
          <w:szCs w:val="24"/>
        </w:rPr>
        <w:t xml:space="preserve"> spominkov, zabaviščni park in podobno), </w:t>
      </w:r>
      <w:r w:rsidR="000F630B" w:rsidRPr="00D24607">
        <w:rPr>
          <w:rFonts w:ascii="Times New Roman" w:eastAsia="Calibri" w:hAnsi="Times New Roman" w:cs="Times New Roman"/>
          <w:sz w:val="24"/>
          <w:szCs w:val="24"/>
        </w:rPr>
        <w:t>z izvajalcem uskladi podatke in določi obdobje delovanja z Zapisnikom za obračun storitev ravnanja s komunalnimi odpadki. Na podlagi Zapisnika se obračun izvede za celotno obdobje delovanja.</w:t>
      </w:r>
    </w:p>
    <w:p w:rsidR="000F630B" w:rsidRPr="00D24607" w:rsidRDefault="000F630B" w:rsidP="00D62BAA">
      <w:pPr>
        <w:pStyle w:val="Odstavekseznama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 kolikor se pri posameznem uporabniku ugotovijo količine odpadkov, ki so različne od dogovorjenih z Zapisnikom, se ustrezno spremeni kapaciteta zabojnikov in s tem ustrezno prilagodi obračun, vendar nova količina ne sme biti manjša od minimalne količine določene v ta</w:t>
      </w:r>
      <w:r w:rsidR="00C7400D"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beli 25. člena tega Pravilnika.</w:t>
      </w:r>
    </w:p>
    <w:p w:rsidR="000F630B" w:rsidRPr="00D24607" w:rsidRDefault="000F630B" w:rsidP="00D62BAA">
      <w:pPr>
        <w:pStyle w:val="Odstavekseznama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 primeru, da pravni subjekt ne more izkazati, da odpadke iz dejavnosti oddaja pooblaščenim zbiralcem odpadkov mu izvajalec javne službe lahko določi dodatni volumen v višini minimalne količine.</w:t>
      </w:r>
    </w:p>
    <w:p w:rsidR="000F630B" w:rsidRPr="00D24607" w:rsidRDefault="000F630B" w:rsidP="00D62BAA">
      <w:pPr>
        <w:pStyle w:val="Odstavekseznama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 obračunu za </w:t>
      </w:r>
      <w:r w:rsidR="00881720"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poslovni subjekt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ki ima v lasti ali v upravljanju stanovanjsko enoto, na primer za namen bivanja, oddajanja v najem ali za sobodajalstvo, se upošteva pogoje kot pri obračunu za </w:t>
      </w:r>
      <w:r w:rsidR="00E82768"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stanovanje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Upošteva se pisna izjava lastnikov oziroma uporabnikov objekta.</w:t>
      </w:r>
    </w:p>
    <w:p w:rsidR="000F630B" w:rsidRPr="00D24607" w:rsidRDefault="00E82768" w:rsidP="00D62BAA">
      <w:pPr>
        <w:pStyle w:val="Odstavekseznama"/>
        <w:numPr>
          <w:ilvl w:val="0"/>
          <w:numId w:val="21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poslovni subjekt, ki im</w:t>
      </w:r>
      <w:r w:rsidR="000F630B"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prijavljeno dejavnost v stanovanjski enoti, na primer društvo, zavod, manjše podjetje ali pisarna, ki ima sedež prijavljen na lokaciji bivanja lastnika ali uporabnika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 deja</w:t>
      </w:r>
      <w:r w:rsidR="000F630B"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0F630B"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osti ne opravlja na drugi lok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aciji, se storitev ne zaračuna.</w:t>
      </w:r>
    </w:p>
    <w:p w:rsidR="00D62BAA" w:rsidRPr="00D24607" w:rsidRDefault="000F630B" w:rsidP="00D62BAA">
      <w:pPr>
        <w:pStyle w:val="Odstavekseznama"/>
        <w:numPr>
          <w:ilvl w:val="0"/>
          <w:numId w:val="2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Uporabnik, ki odda  vlogo v zvezi s spremembo podatkov za obračun storitev ravnanja s komunalnimi odpadki, do vključno 25. dne v mesecu, se obravnava v tekočem mesecu. Oddana vloga, prispela od 26. dne dalje v mesecu, se obravnava v naslednjem mesecu. </w:t>
      </w:r>
    </w:p>
    <w:p w:rsidR="00D62BAA" w:rsidRPr="00D24607" w:rsidRDefault="000F630B" w:rsidP="00D62BAA">
      <w:pPr>
        <w:pStyle w:val="Odstavekseznama"/>
        <w:numPr>
          <w:ilvl w:val="0"/>
          <w:numId w:val="2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ureditev obračuna storitev ravnanja s komunalnimi odpadki je potrebno vlogi priložiti uradni dokument, iz katerega je razvidna identifikacijska oznaka nepremičnine (ID objekta).</w:t>
      </w:r>
    </w:p>
    <w:p w:rsidR="00D62BAA" w:rsidRPr="00D24607" w:rsidRDefault="000F630B" w:rsidP="00D62BAA">
      <w:pPr>
        <w:pStyle w:val="Odstavekseznama"/>
        <w:numPr>
          <w:ilvl w:val="0"/>
          <w:numId w:val="2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Uporabnik z izvajalcem uskladi podatke z Zapisnikom za obračun storitev ravnanja s komunalnimi odpadki. </w:t>
      </w:r>
    </w:p>
    <w:p w:rsidR="000F630B" w:rsidRPr="00D24607" w:rsidRDefault="000F630B" w:rsidP="00D62BAA">
      <w:pPr>
        <w:pStyle w:val="Odstavekseznama"/>
        <w:numPr>
          <w:ilvl w:val="0"/>
          <w:numId w:val="2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 pisnim pooblastilom uporabnika lahko zadeve, ki vplivajo na obračun storitve ravnanja z odpadki, v njegovem imenu uredi tudi druga oseba.«</w:t>
      </w:r>
    </w:p>
    <w:p w:rsidR="000F630B" w:rsidRPr="00AE27E3" w:rsidRDefault="000F630B" w:rsidP="000F63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30B" w:rsidRPr="000F630B" w:rsidRDefault="000F630B" w:rsidP="000F630B">
      <w:pPr>
        <w:numPr>
          <w:ilvl w:val="0"/>
          <w:numId w:val="16"/>
        </w:num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člen</w:t>
      </w:r>
    </w:p>
    <w:p w:rsidR="000F630B" w:rsidRPr="000F630B" w:rsidRDefault="000F630B" w:rsidP="000F630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člen se spremeni tako, da se glasi:</w:t>
      </w:r>
    </w:p>
    <w:p w:rsidR="000F630B" w:rsidRPr="000F630B" w:rsidRDefault="000F630B" w:rsidP="000F6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 xml:space="preserve">»26. </w:t>
      </w: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0F630B" w:rsidRPr="000F630B" w:rsidRDefault="000F630B" w:rsidP="000F630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trike/>
          <w:sz w:val="24"/>
          <w:szCs w:val="24"/>
        </w:rPr>
      </w:pPr>
      <w:r w:rsidRPr="000F630B">
        <w:rPr>
          <w:rFonts w:ascii="Times New Roman" w:eastAsia="Calibri" w:hAnsi="Times New Roman" w:cs="Times New Roman"/>
          <w:sz w:val="24"/>
          <w:szCs w:val="24"/>
        </w:rPr>
        <w:t>(objekti, ki niso v uporabi)</w:t>
      </w:r>
    </w:p>
    <w:p w:rsidR="000F630B" w:rsidRPr="000F630B" w:rsidRDefault="000F630B" w:rsidP="000F630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D2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 objekte, namenjene za poslovno ali stanovanjsko uporabo, ki niso v uporabi skladno s 5. členom Odloka, se mirovanje odobri za dobo 1 leta, z možnostjo podaljšanja. Uporabnik je dolžan izvajalcu pisno izkazati neuporabo objekta, za celotno obdobje mirovanja s položnicami elektrike ali vode, slikami v primeru, da je nepremičnina ruševina, ali tako, da uporabnik dovoli terenski ogled nepremičnine komunalnemu nadzorniku ali z dokazili o odklopljeni dobavi elektrike ali vode.</w:t>
      </w: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Zaradi uskladitve obračuna mora uporabnik pred podajo vloge za mirovanje na podlagi uradnega dokumenta, terenskega ogleda ali pisne izjave uporabnika, izkazati kolikšen je del nepremičnine, ki je predmet mirovanja.</w:t>
      </w: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 kolikor neuporabo dela nepremičnine ni možno določiti s pisnimi dokazili neuporabe elektrike ali vode, lastnik oz. uporabnik nepremičnine dovoli izvajalcu ogled nepremičnine, kjer komunalnemu nadzorniku fizično dokaže njeno neuporabnost (ni osnovnih  pogojev za bivanje, prazne omare, hladilnik, itd.). </w:t>
      </w: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 primeru predčasne prekinitve mirovanja se ugotovi uporaba objekta. Izvajalec uporabniku zaračuna storitev ravnanja s komunalnimi odpadki za celotno obdobje mirovanja. V kolikor v času odobrenega mirovanja pride do spremembe lastništva nepremičnine, se dosedanjemu uporabniku ne zaračuna storitve ravnanja s komunalnimi odpadki za preteklo obdobje odobritve mirovanja. V tem primeru uporabnik dostavi dokumentacijo ter ustrezna dokazila glede neuporabe nepremičnine, ki izkazuje spremembo statusa objekta. </w:t>
      </w: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Izvajalec uporabniku zaračuna storitev ravnanja s komunalnimi odpadki za celotno obdobje mirovanja, v primeru, da je iz dostavljenih dokazil razvidno, da je bil objekt predmet uporabe in v primeru, da uporabnik po preteku roka mirovanja ne dokazuje, da objekt ni bil predmet uporabe. Uporabnik mora dokazovati do vključno 25. v mesecu po preteku mirovanja.</w:t>
      </w:r>
    </w:p>
    <w:p w:rsidR="00E82768" w:rsidRPr="00D24607" w:rsidRDefault="000F630B" w:rsidP="00E82768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 prijavi gradnje oziroma adaptacije se v primeru, da je objekt nenaseljen oziroma ne izvaja dejavnost, upošteva minimalna prostornina 60 l. V primeru, da se obnavlja samo del objekta (ostali del pa je v uporabi) se storitev obračuna kot za objekt v uporabi zmanjšano za površino, ki je v adaptaciji.</w:t>
      </w:r>
      <w:r w:rsidR="00E82768" w:rsidRPr="00D2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prekinitvi dobe minimalnega obračuna, uporabnik izvajalcu dokazuje izvajanje gradbenih del, s porabo vode ali elektrike, s posredovanjem fotografij ali na podlagi dogovorjenega terenskega ogleda. V kolikor uporabnik ne dostavi potrebnih dokazil, se uporabniku upošteva izhodiščni mesečni obračun storitev ravnanja s komunalnimi odpadki ter zaračuna storitve za preteklo obdobje odobrenega minimalnega obračuna. Uporabnik mora dokazovati do vključno 25. v mesecu po preteku obdobja minimalnega obračuna.</w:t>
      </w: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 kolikor je predmet gradnje oziroma adaptacije del objekta, mora uporabnik zaradi uskladitve obračuna, pred podajo vloge izkazati, kolikšen je del nepremičnine, ki je predmet izvajanja adaptacije ali gradbenih del. </w:t>
      </w: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Uporabniku, ki ima nepremičnino v gradnji, ne pripada zabojnik v okviru akcije zbiranja odpadkov. </w:t>
      </w: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 prekinitvi gradnje se uporabniku določi obračun na podlagi podatkov, ki jih posreduje izvajalcu.</w:t>
      </w:r>
    </w:p>
    <w:p w:rsidR="000F630B" w:rsidRPr="00D24607" w:rsidRDefault="000F630B" w:rsidP="00E82768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 primeru poslovnih subjektov, katerih dejavnost je sezonske narave, se na podlagi zapisnika določi obračun v času opravljanja dejavnosti ter minimalni obračun v času začasnega neizvajanja dejavnosti objekta. Obračuna se zabojnik prostornine 60 l.</w:t>
      </w:r>
    </w:p>
    <w:p w:rsidR="000F630B" w:rsidRPr="00D24607" w:rsidRDefault="000F630B" w:rsidP="000F630B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objekt, ki je namenjen za izvajanje poslovne dejavnosti, je lastnik pred podajo vloge za mirovanje dolžan pisno sporočiti, katero dejavnost ima v poslovnem prostoru registrirano ter z izvajalcem podpisati zapisnik za obračun storitev ravnanja s komunalnimi odpadki.«</w:t>
      </w:r>
    </w:p>
    <w:p w:rsidR="000F630B" w:rsidRPr="00D24607" w:rsidRDefault="000F630B" w:rsidP="00D62BA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magenta"/>
        </w:rPr>
      </w:pPr>
    </w:p>
    <w:p w:rsidR="000F630B" w:rsidRPr="00D24607" w:rsidRDefault="000F630B" w:rsidP="000F630B">
      <w:pPr>
        <w:numPr>
          <w:ilvl w:val="0"/>
          <w:numId w:val="16"/>
        </w:num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člen</w:t>
      </w:r>
    </w:p>
    <w:p w:rsidR="000F630B" w:rsidRPr="00D24607" w:rsidRDefault="00D62BAA" w:rsidP="00D62BAA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07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sl-SI"/>
        </w:rPr>
        <w:t xml:space="preserve">Pravilnik o spremembah in dopolnitvah Pravilnika </w:t>
      </w:r>
      <w:r w:rsidRPr="00D24607">
        <w:rPr>
          <w:rFonts w:ascii="Times New Roman" w:hAnsi="Times New Roman" w:cs="Times New Roman"/>
          <w:color w:val="000000" w:themeColor="text1"/>
          <w:sz w:val="24"/>
          <w:szCs w:val="24"/>
        </w:rPr>
        <w:t>o zbiranju in prevozu komunalnih odpadkov na območju občine Izola</w:t>
      </w:r>
      <w:r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630B" w:rsidRPr="00D246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začne veljati naslednji dan po objavi v Uradnih objavah Občine Izola.</w:t>
      </w:r>
    </w:p>
    <w:p w:rsidR="000F630B" w:rsidRPr="00D24607" w:rsidRDefault="000F630B" w:rsidP="000F630B">
      <w:pPr>
        <w:spacing w:after="0" w:line="276" w:lineRule="auto"/>
        <w:rPr>
          <w:rFonts w:ascii="Arial" w:eastAsia="Calibri" w:hAnsi="Arial" w:cs="Arial"/>
          <w:color w:val="000000" w:themeColor="text1"/>
        </w:rPr>
      </w:pPr>
    </w:p>
    <w:p w:rsidR="000F630B" w:rsidRPr="000F630B" w:rsidRDefault="000F630B" w:rsidP="000F630B">
      <w:pPr>
        <w:spacing w:after="0" w:line="276" w:lineRule="auto"/>
        <w:rPr>
          <w:rFonts w:ascii="Arial" w:eastAsia="Calibri" w:hAnsi="Arial" w:cs="Arial"/>
        </w:rPr>
      </w:pPr>
    </w:p>
    <w:p w:rsidR="000F630B" w:rsidRPr="000F630B" w:rsidRDefault="000F630B" w:rsidP="000F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354 - 175/2018</w:t>
      </w: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F630B" w:rsidRPr="000F630B" w:rsidRDefault="000F630B" w:rsidP="000F630B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  ……………..</w:t>
      </w:r>
      <w:r w:rsidRPr="000F630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F630B" w:rsidRPr="00A21B0C" w:rsidRDefault="000F630B" w:rsidP="000F630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s-ES" w:eastAsia="sl-SI"/>
        </w:rPr>
      </w:pPr>
      <w:r w:rsidRPr="00A21B0C">
        <w:rPr>
          <w:rFonts w:ascii="Times New Roman" w:eastAsia="Times New Roman" w:hAnsi="Times New Roman" w:cs="Times New Roman"/>
          <w:sz w:val="24"/>
          <w:szCs w:val="24"/>
          <w:lang w:val="es-ES" w:eastAsia="sl-SI"/>
        </w:rPr>
        <w:t>Ž u p a n</w:t>
      </w:r>
    </w:p>
    <w:p w:rsidR="000F630B" w:rsidRPr="000F630B" w:rsidRDefault="000F630B" w:rsidP="000F630B">
      <w:pPr>
        <w:spacing w:after="0" w:line="276" w:lineRule="auto"/>
        <w:ind w:left="5328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21B0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    </w:t>
      </w:r>
      <w:r w:rsidRPr="000F630B">
        <w:rPr>
          <w:rFonts w:ascii="Times New Roman" w:eastAsia="Calibri" w:hAnsi="Times New Roman" w:cs="Times New Roman"/>
          <w:sz w:val="24"/>
          <w:szCs w:val="24"/>
          <w:lang w:val="it-IT"/>
        </w:rPr>
        <w:t>Danilo Markočič</w:t>
      </w:r>
    </w:p>
    <w:p w:rsidR="000F630B" w:rsidRDefault="000F630B"/>
    <w:p w:rsidR="000F630B" w:rsidRDefault="000F630B"/>
    <w:p w:rsidR="000F630B" w:rsidRDefault="000F630B"/>
    <w:p w:rsidR="000F630B" w:rsidRDefault="000F630B"/>
    <w:sectPr w:rsidR="000F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20F"/>
    <w:multiLevelType w:val="hybridMultilevel"/>
    <w:tmpl w:val="042AFB8C"/>
    <w:lvl w:ilvl="0" w:tplc="B66851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0BAB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F3F"/>
    <w:multiLevelType w:val="hybridMultilevel"/>
    <w:tmpl w:val="D39E0FF8"/>
    <w:lvl w:ilvl="0" w:tplc="E0EC4314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014"/>
    <w:multiLevelType w:val="hybridMultilevel"/>
    <w:tmpl w:val="F992E1B0"/>
    <w:lvl w:ilvl="0" w:tplc="537A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80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0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2D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28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6D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01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2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370849"/>
    <w:multiLevelType w:val="hybridMultilevel"/>
    <w:tmpl w:val="C08A06CE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94E"/>
    <w:multiLevelType w:val="hybridMultilevel"/>
    <w:tmpl w:val="B234E994"/>
    <w:lvl w:ilvl="0" w:tplc="D0FCF43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026C32"/>
    <w:multiLevelType w:val="hybridMultilevel"/>
    <w:tmpl w:val="7FC2BE0C"/>
    <w:lvl w:ilvl="0" w:tplc="6A6062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3915"/>
    <w:multiLevelType w:val="hybridMultilevel"/>
    <w:tmpl w:val="D2C21A32"/>
    <w:lvl w:ilvl="0" w:tplc="0424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768B"/>
    <w:multiLevelType w:val="hybridMultilevel"/>
    <w:tmpl w:val="6B02B240"/>
    <w:lvl w:ilvl="0" w:tplc="6A6062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11D2"/>
    <w:multiLevelType w:val="hybridMultilevel"/>
    <w:tmpl w:val="BBC60A24"/>
    <w:lvl w:ilvl="0" w:tplc="7FF689B0">
      <w:start w:val="4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1C92"/>
    <w:multiLevelType w:val="hybridMultilevel"/>
    <w:tmpl w:val="894A49DC"/>
    <w:lvl w:ilvl="0" w:tplc="86341DC6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A3F8E17A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C2AA67C4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57D4B182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3B664656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A5EE4D80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B7FA7F62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3EE89D3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FA68FE60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10" w15:restartNumberingAfterBreak="0">
    <w:nsid w:val="42EA502E"/>
    <w:multiLevelType w:val="hybridMultilevel"/>
    <w:tmpl w:val="BB4AB678"/>
    <w:lvl w:ilvl="0" w:tplc="9FFA9FE6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2519"/>
    <w:multiLevelType w:val="hybridMultilevel"/>
    <w:tmpl w:val="2B34C548"/>
    <w:lvl w:ilvl="0" w:tplc="E4C4F56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53ED2"/>
    <w:multiLevelType w:val="hybridMultilevel"/>
    <w:tmpl w:val="7004DD16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4BD5"/>
    <w:multiLevelType w:val="hybridMultilevel"/>
    <w:tmpl w:val="E72619D2"/>
    <w:lvl w:ilvl="0" w:tplc="6EDECAC8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10CB9"/>
    <w:multiLevelType w:val="hybridMultilevel"/>
    <w:tmpl w:val="B5528770"/>
    <w:lvl w:ilvl="0" w:tplc="51A0BAB0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786669C2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AA529246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35AA224E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8CCE563E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ED0215AA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65061AF6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9E20D030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45EAB380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15" w15:restartNumberingAfterBreak="0">
    <w:nsid w:val="56BA6E06"/>
    <w:multiLevelType w:val="hybridMultilevel"/>
    <w:tmpl w:val="545A5C4A"/>
    <w:lvl w:ilvl="0" w:tplc="51A0BAB0">
      <w:start w:val="1"/>
      <w:numFmt w:val="bullet"/>
      <w:lvlText w:val="•"/>
      <w:lvlJc w:val="left"/>
      <w:pPr>
        <w:ind w:left="1506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6CB6248"/>
    <w:multiLevelType w:val="hybridMultilevel"/>
    <w:tmpl w:val="AAF4D392"/>
    <w:lvl w:ilvl="0" w:tplc="215293CC">
      <w:start w:val="1"/>
      <w:numFmt w:val="decimal"/>
      <w:lvlText w:val="(%1)"/>
      <w:lvlJc w:val="left"/>
      <w:pPr>
        <w:ind w:left="360" w:hanging="360"/>
      </w:pPr>
      <w:rPr>
        <w:rFonts w:hint="default"/>
        <w:color w:val="385623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F7896"/>
    <w:multiLevelType w:val="hybridMultilevel"/>
    <w:tmpl w:val="C4BAC8CA"/>
    <w:lvl w:ilvl="0" w:tplc="8634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A67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4B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64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E4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8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8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B4F19"/>
    <w:multiLevelType w:val="hybridMultilevel"/>
    <w:tmpl w:val="7CDC6644"/>
    <w:lvl w:ilvl="0" w:tplc="81A2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16"/>
  </w:num>
  <w:num w:numId="8">
    <w:abstractNumId w:val="14"/>
  </w:num>
  <w:num w:numId="9">
    <w:abstractNumId w:val="9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6"/>
  </w:num>
  <w:num w:numId="15">
    <w:abstractNumId w:val="8"/>
  </w:num>
  <w:num w:numId="16">
    <w:abstractNumId w:val="19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67"/>
    <w:rsid w:val="000C7F7C"/>
    <w:rsid w:val="000F630B"/>
    <w:rsid w:val="00143109"/>
    <w:rsid w:val="00157700"/>
    <w:rsid w:val="00201177"/>
    <w:rsid w:val="002D04B1"/>
    <w:rsid w:val="002D4B0A"/>
    <w:rsid w:val="00307908"/>
    <w:rsid w:val="003A09FA"/>
    <w:rsid w:val="00413F07"/>
    <w:rsid w:val="00466AC7"/>
    <w:rsid w:val="004C6A73"/>
    <w:rsid w:val="00561316"/>
    <w:rsid w:val="005D05C7"/>
    <w:rsid w:val="005D0B67"/>
    <w:rsid w:val="005D1CDD"/>
    <w:rsid w:val="00612A7C"/>
    <w:rsid w:val="006B6260"/>
    <w:rsid w:val="0072118A"/>
    <w:rsid w:val="00734203"/>
    <w:rsid w:val="007638B9"/>
    <w:rsid w:val="00881720"/>
    <w:rsid w:val="00885BCA"/>
    <w:rsid w:val="0090335B"/>
    <w:rsid w:val="00980423"/>
    <w:rsid w:val="00A21B0C"/>
    <w:rsid w:val="00AE27E3"/>
    <w:rsid w:val="00AF6026"/>
    <w:rsid w:val="00B271EB"/>
    <w:rsid w:val="00BB54B8"/>
    <w:rsid w:val="00C71C3B"/>
    <w:rsid w:val="00C7400D"/>
    <w:rsid w:val="00CF0621"/>
    <w:rsid w:val="00D24607"/>
    <w:rsid w:val="00D62BAA"/>
    <w:rsid w:val="00E02B80"/>
    <w:rsid w:val="00E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3DEB"/>
  <w15:chartTrackingRefBased/>
  <w15:docId w15:val="{3B7382E2-714D-4B93-B7C8-2AED47A6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5D0B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5BCA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locked/>
    <w:rsid w:val="00E8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Nina Kasal</cp:lastModifiedBy>
  <cp:revision>31</cp:revision>
  <cp:lastPrinted>2020-01-28T12:21:00Z</cp:lastPrinted>
  <dcterms:created xsi:type="dcterms:W3CDTF">2020-01-03T10:49:00Z</dcterms:created>
  <dcterms:modified xsi:type="dcterms:W3CDTF">2020-02-11T08:05:00Z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1264216877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DisplayName">
    <vt:lpwstr>Irena Prodan</vt:lpwstr>
  </property>
  <property fmtid="{D5CDD505-2E9C-101B-9397-08002B2CF9AE}" pid="6" name="_ReviewingToolsShownOnce">
    <vt:lpwstr/>
  </property>
</Properties>
</file>